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https://www.autoritedelaconcurrence.fr/fr/decision-de-controle-des-concentrations/relative-la-prise-de-controle-exclusif-dun-fonds-de-42</w:t>
      </w:r>
    </w:p>
    <w:p>
      <w:r>
        <w:t>Pages translated : 2</w:t>
      </w:r>
    </w:p>
    <w:p/>
    <w:p>
      <w:r>
        <w:rPr>
          <w:b/>
        </w:rPr>
        <w:t>[Pages 1–2]</w:t>
      </w:r>
    </w:p>
    <w:p>
      <w:r>
        <w:t xml:space="preserve">FRENCH REPUBLIC  </w:t>
        <w:br/>
        <w:t xml:space="preserve">Decision No. 25-DCC-134 of June 13, 2025  </w:t>
        <w:br/>
        <w:t xml:space="preserve">regarding the exclusive control acquisition of a business of  </w:t>
        <w:br/>
        <w:t xml:space="preserve">automobile sales and repair from Vauban Distribution  </w:t>
        <w:br/>
        <w:t xml:space="preserve">by Advance  </w:t>
        <w:br/>
        <w:t xml:space="preserve">The Competition Authority,  </w:t>
        <w:br/>
        <w:t xml:space="preserve">Having regard to the complete notification file submitted to the mergers department on May 12, 2025,  </w:t>
        <w:br/>
        <w:t xml:space="preserve">concerning the exclusive control acquisition of a business of automobile sales and repair from Vauban Distribution by Advance formalized by a sales agreement signed on May 12,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Advance of a business of automobile sales and repair from Vauban Distribution located in Chambourcy (78).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