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https://www.autoritedelaconcurrence.fr/fr/decision-de-controle-des-concentrations/relative-la-prise-de-controle-exclusif-dun-fonds-de-43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25-DCC-185 of August 14, 2025  </w:t>
        <w:br/>
        <w:t xml:space="preserve">regarding the exclusive control acquisition of a business asset held  </w:t>
        <w:br/>
        <w:t>by the company BPM Cars by the Legrand group</w:t>
      </w:r>
    </w:p>
    <w:p>
      <w:r>
        <w:t>The Competition Authority,</w:t>
      </w:r>
    </w:p>
    <w:p>
      <w:r>
        <w:t xml:space="preserve">Having regard to the complete notification file sent to the mergers department on July 25, 2025,  </w:t>
        <w:br/>
        <w:t xml:space="preserve">concerning the exclusive control acquisition of a business asset held by the company BPM Cars  </w:t>
        <w:br/>
        <w:t>by the Legrand group, formalized by a bilateral promise of sale of business assets signed on June 4, 2025;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acquisition, by the Legrand group, via the company Garage de  </w:t>
        <w:br/>
        <w:t xml:space="preserve">l’Europe, of the business asset held by the company BPM Cars, which pertains to an  </w:t>
        <w:br/>
        <w:t xml:space="preserve">automobile dealership activity for the brands Fiat, Alfa Romeo, and Jeep in Le Mans  </w:t>
        <w:br/>
        <w:t xml:space="preserve">(72). This operation constitutes a concentration within the meaning of Article L. 430-1 of the Commercial Code. Given the turnover achieved by the concerned companies,  </w:t>
        <w:br/>
        <w:t xml:space="preserve">the operation does not fall under the jurisdiction of the European Union. On the other hand, the thresholds for  </w:t>
        <w:br/>
        <w:t xml:space="preserve">control mentioned in II of Article L. 430-2 of the Commercial Code are exceeded. The present  </w:t>
        <w:br/>
        <w:t xml:space="preserve">operation is therefore subject to the 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25-194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