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https://www.autoritedelaconcurrence.fr/fr/decision-de-controle-des-concentrations/relative-la-prise-de-controle-exclusif-dun-fonds-de-44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25-DCC-319 of December 15, 2025  </w:t>
        <w:br/>
        <w:t xml:space="preserve">regarding the exclusive control acquisition of a business dedicated to  </w:t>
        <w:br/>
        <w:t xml:space="preserve">the wholesale distribution of butcher-charcuterie-caterer products of the company STB by the company Saveurs d’Antoine  </w:t>
        <w:br/>
        <w:t xml:space="preserve">(Pomona group)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28, 2025, concerning the exclusive control acquisition of a business dedicated to  </w:t>
        <w:br/>
        <w:t xml:space="preserve">the wholesale distribution of butcher-charcuterie-caterer products of the company STB  </w:t>
        <w:br/>
        <w:t xml:space="preserve">by the company Saveurs d’Antoine, formalized by a memorandum of understanding signed on  </w:t>
        <w:br/>
        <w:t xml:space="preserve">November 10,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Saveurs d’Antoine, belonging to the  </w:t>
        <w:br/>
        <w:t xml:space="preserve">Pomona group, of a business dedicated to the wholesale distribution of butcher-charcuterie-caterer products  </w:t>
        <w:br/>
        <w:t xml:space="preserve">of the company STB, belonging to the Euralis group. This operation constitutes a concentration within the meaning of  </w:t>
        <w:br/>
        <w:t xml:space="preserve">Article L. 430-1 of the Commercial Code. Given the turnover achieved by the companies concerned, the operation does not fall  </w:t>
        <w:br/>
        <w:t xml:space="preserve">under the jurisdiction of the European Union. On the other hand, the control thresholds mentioned  </w:t>
        <w:br/>
        <w:t xml:space="preserve">in I of Article L. 430-2 of the Commercial Code are exceeded. The present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25-287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