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https://www.autoritedelaconcurrence.fr/fr/decision-de-controle-des-concentrations/relative-la-prise-de-controle-exclusif-dun-fonds-de-45</w:t>
      </w:r>
    </w:p>
    <w:p>
      <w:r>
        <w:t>Pages translated : 2</w:t>
      </w:r>
    </w:p>
    <w:p/>
    <w:p>
      <w:r>
        <w:rPr>
          <w:b/>
        </w:rPr>
        <w:t>[Pages 1–2]</w:t>
      </w:r>
    </w:p>
    <w:p>
      <w:r>
        <w:t>FRENCH REPUBLIC</w:t>
        <w:br/>
        <w:t>Decision No. 26-DCC-09 of January 16, 2026</w:t>
        <w:br/>
        <w:t>regarding the exclusive control acquisition of an automobile business located in Le Cannet by the Chopard group</w:t>
        <w:br/>
        <w:t>The Competition Authority,</w:t>
        <w:br/>
        <w:t>Having regard to the complete notification file submitted to the mergers department on December 23, 2025, concerning the exclusive control acquisition of an automobile business located in Le Cannet by the company Chopard Cannes, formalized by a synallagmatic promise of sale of business assets signed on December 23, 2025;</w:t>
        <w:br/>
        <w:t>Having regard to Book IV of the Commercial Code relating to the freedom of prices and competition, and in particular its Articles L. 430-1 to L. 430-7;</w:t>
        <w:br/>
        <w:t>Adopts the following decision:</w:t>
        <w:br/>
        <w:t>1. The notified operation consists of the acquisition, by the company Chopard Cannes, a subsidiary of the Chopard group, of a business having as its object the purchase and sale of new and used motor vehicles of the brands "Fiat", "Fiat Professional", "Abarth", "Jeep", "Alfa Romeo" and "Leapmotor", the sale of spare parts and accessories, mechanical maintenance and repair, garage services, and the rental of motor vehicles in Le Cannet (06). This operation constitutes a concentration within the meaning of Article L. 430-1 of the Commercial Code. Given the turnover achieved by the concerned companies,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25-369 is authorized.</w:t>
        <w:br/>
        <w:t>The Vice-President,</w:t>
        <w:br/>
        <w:t>Thibaud Vergé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