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https://www.autoritedelaconcurrence.fr/fr/decision-de-controle-des-concentrations/relative-la-prise-de-controle-exclusif-dun-fonds-de-46</w:t>
      </w:r>
    </w:p>
    <w:p>
      <w:r>
        <w:t>Pages translated : 2</w:t>
      </w:r>
    </w:p>
    <w:p/>
    <w:p>
      <w:r>
        <w:rPr>
          <w:b/>
        </w:rPr>
        <w:t>[Pages 1–2]</w:t>
      </w:r>
    </w:p>
    <w:p>
      <w:r>
        <w:t xml:space="preserve">FRENCH REPUBLIC  </w:t>
        <w:br/>
        <w:t xml:space="preserve">Decision No. 26-DCC-43 of February 2, 2026  </w:t>
        <w:br/>
        <w:t xml:space="preserve">regarding the exclusive control acquisition of a business and its real estate in Dole (39) by the company Soledo  </w:t>
        <w:br/>
        <w:t xml:space="preserve">The Competition Authority,  </w:t>
        <w:br/>
        <w:t xml:space="preserve">Having regard to the complete notification file submitted to the mergers department on January 13, 2026, concerning the exclusive control acquisition of a business and its real estate in Dole (39), formalized by a firm and irrevocable offer letter of acquisition signed on May 15, 2025, and a unilateral purchase promise signed on June 16,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Soledo, via the company Bear Dole, of a food-dominant distribution business with a sales area of 1,208 m², currently under the Colruyt brand, under the Netto brand in the city of Dole (39). This operation constitutes a concentration within the meaning of Article L. 430-1 of the Commercial Code. Given the revenues generated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25-353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