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13-DCC-138 of September 30, 2013  </w:t>
        <w:br/>
        <w:t xml:space="preserve">regarding the exclusive control acquisition of an automobile distribution business by the company Gap Premium  </w:t>
        <w:br/>
        <w:t xml:space="preserve">The Competition Authority,  </w:t>
        <w:br/>
        <w:t xml:space="preserve">Having regard to the notification file sent to the mergers department on August 23, 2013, and declared complete on September 11, 2013, concerning the exclusive control acquisition of a business from the company Midi Auto Limoges by the company Gap Premium formalized by a business transfer agreement dated August 19, 2013;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company GAP Premium is a subsidiary of Groupe Parot, a family company operating Ford, Mazda, and BMW brand car dealerships in Corrèze and Dordogne.  </w:t>
        <w:br/>
        <w:t xml:space="preserve">The notified operation consists of the exclusive control acquisition by the company Gap Premium of a business consisting of a BMW brand dealership located in the city of Limoges (87). It constitutes a concentration operation within the meaning of Article L. 430-1 of the Commercial Code. Given the turnover achieved by the concerned companies,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13-149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