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13-DCC-140 of October 4, 2013  </w:t>
        <w:br/>
        <w:t xml:space="preserve">regarding the exclusive control acquisition of an automobile distribution business by the company SOGEP  </w:t>
        <w:br/>
        <w:t xml:space="preserve">The Competition Authority,  </w:t>
        <w:br/>
        <w:t xml:space="preserve">Having regard to the notification file sent to the mergers department on September 11, 2013, and declared complete on September 20, 2013, concerning the exclusive control acquisition of a business of the company GAAM Nouvelle by the company SOGEP formalized by a promise of sale of business dated May 23,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business of the company GAAM Nouvelle, operating a dealership for BMW and Mini brands located in the city of Mongins (06), by the company SOGEP, a subsidiary of the Pautric group, which is itself active in the distribution of motor vehicles in other departments.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13-122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