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13-DCC-178 of December 5, 2013  </w:t>
        <w:br/>
        <w:t xml:space="preserve">regarding the exclusive control acquisition of a business of  </w:t>
        <w:br/>
        <w:t xml:space="preserve">automobile distribution by the company JPC Evolution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15, 2013, concerning the exclusive control acquisition of an automobile distribution business by the company JPC Evolution from the company PGA Motors and  </w:t>
        <w:br/>
        <w:t xml:space="preserve">formalized by a sales agreement dated November 7,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business of an  </w:t>
        <w:br/>
        <w:t xml:space="preserve">automobile dealership under the brands BMW and Mini located in Lievin, in the department  </w:t>
        <w:br/>
        <w:t xml:space="preserve">of Pas-de-Calais (62), by the company JPC Evolution, which operates automobile dealerships  </w:t>
        <w:br/>
        <w:t xml:space="preserve">in the same department, from the company PGA Motors.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have a community dimension. On the other hand, the  </w:t>
        <w:br/>
        <w:t xml:space="preserve">control thresholds related to retail trade mentioned in point II of Article L. 430-2 of the Commercial  </w:t>
        <w:br/>
        <w:t xml:space="preserve">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view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13-211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