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https://www.autoritedelaconcurrence.fr/fr/decision-de-controle-des-concentrations/relative-la-prise-de-controle-exclusif-dun-fonds-de-9</w:t>
      </w:r>
    </w:p>
    <w:p>
      <w:r>
        <w:t>Pages translated : 5</w:t>
      </w:r>
    </w:p>
    <w:p/>
    <w:p>
      <w:r>
        <w:rPr>
          <w:b/>
        </w:rPr>
        <w:t>[Pages 1–3]</w:t>
      </w:r>
    </w:p>
    <w:p>
      <w:r>
        <w:t xml:space="preserve">FRENCH REPUBLIC  </w:t>
        <w:br/>
        <w:t xml:space="preserve">Decision No. 13-DCC-59 of May 21, 2013  </w:t>
        <w:br/>
        <w:t xml:space="preserve">regarding the exclusive control of a business by the  </w:t>
        <w:br/>
        <w:t>company ITM Alimentaire Région Parisienne</w:t>
      </w:r>
    </w:p>
    <w:p>
      <w:r>
        <w:t xml:space="preserve">The Competition Authority,  </w:t>
        <w:br/>
        <w:t xml:space="preserve">Having regard to the notification file submitted in full to the merger service on April 12, 2013, regarding the exclusive control of a food-dominant business by the company ITM Alimentaire Région Parisienne, formalized by a bilateral promise of sale signed on March 19, 2013;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The company ITM Alimentaire Région Parisienne is a French law company owned by the Société ITM Alimentaire France, which is itself owned by the company ITM Entreprises. ITM Entreprises, 100% controlled by the civil company of the Mousquetaires, which is itself owned by 1,403 individuals known as "associated members," manages and animates the network of independent merchants known as the "Groupement des Mousquetaires." In its capacity as franchisor, the company ITM Entreprises has as its main activity the management of a network of points of sale, both food and non-food, operated by independent merchants under the following brands: Intermarché, Ecomarché, Netto, Restaumarché, Poivre Rouge, Bricomarché, and Roady. This management is carried out notably through the signing and monitoring of brand contracts with the companies operating these points of sale. ITM Entreprises also provides its franchisees with various services for prospecting, consulting, training, etc. Finally, it offers franchisees the opportunity to benefit from advantageous supply conditions from its national and regional subsidiaries, as well as from referenced suppliers outside the "Groupement des Mousquetaires" (hereinafter "ITM").  </w:t>
        <w:br/>
        <w:t xml:space="preserve">2. The notified operation, formalized by a bilateral promise of sale signed on March 19, 2013, consists of the acquisition by ITM from the company CSF of a food-dominant business located in Étampes (91) currently operated under the Carrefour Market brand. As it results in the exclusive control of a business by ITM Alimentaire Région Parisienne, the notified operation constitutes a concentration within the meaning of Article L. 430-1 of the Commercial Code.  </w:t>
        <w:br/>
        <w:t xml:space="preserve">3. This operation follows the acquisition by ITM from the Carrefour group of eleven businesses located in Champagné (72), Rennes (35), Brebières (62), Campagne-les-Wardrecques (62), Hoymille (59), La Chapelle Launay (44), Concarneau (29), Rosporden (29), Hennebont (56), Loudéac (22), and Barbezieux (16). These acquisitions were authorized by the Competition Authority on December 27, 2012.  </w:t>
        <w:br/>
        <w:t xml:space="preserve">4. The acquisitions already completed and the one contemplated constitute a single concentration within the meaning of Article L. 430-1 of the Commercial Code. Indeed, in accordance with Article 5, paragraph 2, second subparagraph, of Regulation No. 139/2004 to which Article L. 430-2 of the Commercial Code refers, "(...) two or more operations within the meaning of the first subparagraph that have taken place within a period of two years between the same persons or companies are to be considered as a single concentration occurring on the date of the last operation." Given that less than two years have elapsed between the signing of the legally binding agreements relating to the concerned acquisitions, it should be considered that this is a single operation.  </w:t>
        <w:br/>
        <w:t>5. The concerned companies operate several retail stores and together achieve a total worldwide turnover of more than 75 million euros (ITM: […] million euros in worldwide turnover for the fiscal year 2011; target business: […] million euros for the same fiscal year). The concerned companies achieve in France in the retail sector a turnover exceeding 15 million euros (ITM: […] million euros in France for the fiscal year 2011; target business: […] million euros for the same fiscal year). Given these turnover figures, the operation does not have a community dimension. On the other hand, the control thresholds related to retail mentioned in point II of Article L. 430-2 of the Commercial Code are exceeded. The present operation is therefore subject to the provisions of Articles L. 430-3 and following of the Commercial Code relating to economic concentration.</w:t>
      </w:r>
    </w:p>
    <w:p>
      <w:r>
        <w:t xml:space="preserve">II. Definition of the relevant markets  </w:t>
        <w:br/>
        <w:t>6. According to the consistent practice of national and community competition authorities, two categories of markets can be defined in the food-dominant retail sector. These are, on the one hand, "downstream" markets, of a local dimension, which bring together retail companies and consumers for the sale of consumer goods, and, on the other hand, "upstream" markets for the supply of retail companies with everyday consumer goods, of a national dimension.</w:t>
      </w:r>
    </w:p>
    <w:p>
      <w:r>
        <w:t xml:space="preserve">A. DOWNSTREAM MARKETS OF FOOD-DOMINATED RETAIL  </w:t>
        <w:br/>
        <w:t xml:space="preserve">1. SERVICE MARKETS  </w:t>
        <w:br/>
        <w:t xml:space="preserve">7. Regarding the retail sale of everyday consumer goods, competition authorities, both community and national, have distinguished six categories of commerce using several criteria, including store size, sales techniques, accessibility, the nature of the service provided, and the range of products offered: (i) hypermarkets, (ii) supermarkets, (iii) specialized trade, (iv) small retail trade, (v) discount stores, (vi) mail order sales.  </w:t>
        <w:br/>
        <w:t xml:space="preserve">8. Supermarkets are usually defined as predominantly food stores with a legal sales area of less than 2,500 m² and more than 400 m².  </w:t>
        <w:br/>
        <w:t>9. In this case, the company CSF operates a business under the Carrefour Market brand and currently occupies a sales area of 1,800 m², thus falling into the category of supermarkets.</w:t>
      </w:r>
    </w:p>
    <w:p>
      <w:r>
        <w:t xml:space="preserve">2. GEOGRAPHICAL DELIMITATION  </w:t>
        <w:br/>
        <w:t xml:space="preserve">10. In its recent decisions regarding operations involving hypermarkets or supermarkets, the Competition Authority has recalled that depending on the size of the stores concerned, the conditions of competition should be assessed in two different areas:  </w:t>
        <w:br/>
        <w:t xml:space="preserve">- a first market where the demand from consumers in an area meets the supply of hypermarkets that they can access within less than 30 minutes of travel by car and which are, from their point of view, substitutable for each other;  </w:t>
        <w:br/>
        <w:t xml:space="preserve">- a second market where the demand from consumers meets the supply of supermarkets and equivalent retail formats located within 15 minutes of travel time by car. These latter forms of commerce may include, in addition to supermarkets, hypermarkets located near consumers and discount stores.  </w:t>
        <w:br/>
        <w:t xml:space="preserve">11. Other criteria may nevertheless be taken into account to assess the impact of a concentration on the competitive situation in retail distribution markets, which may lead to refining, in the specific case, the usual delimitations presented above.  </w:t>
        <w:br/>
        <w:t>12. In this case, the market concerned by the acquisition of the Carrefour Market supermarket located in Étampes (91) includes supermarkets, hypermarkets, and convenience stores and discount stores located within a 15-minute radius around this store.</w:t>
      </w:r>
    </w:p>
    <w:p>
      <w:r>
        <w:t xml:space="preserve">B. UPSTREAM SUPPLY MARKETS  </w:t>
        <w:br/>
        <w:t xml:space="preserve">13. Regarding the supply markets, the European Commission has recognized the existence of national dimension markets by major product groups, a delimitation followed by national authorities.  </w:t>
        <w:br/>
        <w:t>14. There is no need to challenge this delimitation in the context of the present operation.</w:t>
      </w:r>
    </w:p>
    <w:p>
      <w:r>
        <w:rPr>
          <w:b/>
        </w:rPr>
        <w:t>[Pages 4–5]</w:t>
      </w:r>
    </w:p>
    <w:p>
      <w:r>
        <w:t xml:space="preserve">III. Competitive Analysis  </w:t>
        <w:br/>
        <w:t xml:space="preserve">A. DOWNSTREAM MARKET OF FOOD-DOMINATED RETAIL  </w:t>
        <w:br/>
        <w:t xml:space="preserve">15. In the market comprising supermarkets and equivalent retail formats located within a 15-minute drive zone around Étampes, the store under the Carrefour Market brand represents [5-10]% of the sales area. ITM operates two supermarkets in this area, under the Intermarché and Intermarché Super brands, which represent [5-10]% of the sales area. Consequently, ITM's market share following the operation will rise to [10-20]%.  </w:t>
        <w:br/>
        <w:t xml:space="preserve">16. Therefore, the operation is not likely to harm competition in the relevant markets.  </w:t>
        <w:br/>
        <w:t xml:space="preserve">B. UPSTREAM SUPPLY MARKET  </w:t>
        <w:br/>
        <w:t xml:space="preserve">17. Regarding the upstream supply markets, it was noted in the decision relating to the first phase of the operation2 that the purchases of all members of the ITM group represented approximately […] euros in 2011, or [10-20]% of the overall supply market, and that the share of purchases by the Intermarché group is less than [10-20]% regardless of the product category considered. It was also noted that the total amount of purchases made by the eleven stores involved in this first phase is less than […] euros, or [0-5]% of the total purchases made in France in the upstream supply market, and that the share of cumulative purchases of these eleven target stores in each of the markets defined by product category in the decision-making practice is less than [0-5]%. Therefore, this first phase of the operation was not likely to strengthen the purchasing power of the ITM group in the upstream supply markets, regardless of the market segmentation retained.  </w:t>
        <w:br/>
        <w:t xml:space="preserve">18. The acquisition of an additional store having only a marginal impact on the purchases of the ITM group, it should be considered that this second part of the operation is also not likely to significantly strengthen the purchasing power of the ITM group or harm competition in the upstream distribution market.  </w:t>
        <w:br/>
        <w:t xml:space="preserve">2 Decision 12-DCC-183 referenced.  </w:t>
        <w:br/>
        <w:t>4</w:t>
      </w:r>
    </w:p>
    <w:p>
      <w:r>
        <w:t xml:space="preserve">DECIDES  </w:t>
        <w:br/>
        <w:t xml:space="preserve">Sole Article: The operation notified under number 13-055 is authorized.  </w:t>
        <w:br/>
        <w:t xml:space="preserve">The President,  </w:t>
        <w:br/>
        <w:t xml:space="preserve">Bruno Lasserre  </w:t>
        <w:br/>
        <w:t xml:space="preserve">© Competition Authority  </w:t>
        <w:br/>
        <w:t>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