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w:t>
      </w:r>
    </w:p>
    <w:p>
      <w:r>
        <w:t>Pages translated : 4</w:t>
      </w:r>
    </w:p>
    <w:p/>
    <w:p>
      <w:r>
        <w:rPr>
          <w:b/>
        </w:rPr>
        <w:t>[Pages 1–3]</w:t>
      </w:r>
    </w:p>
    <w:p>
      <w:r>
        <w:t xml:space="preserve">FRENCH REPUBLIC  </w:t>
        <w:br/>
        <w:t xml:space="preserve">Decision No. 12-DCC-161 of November 21, 2012  </w:t>
        <w:br/>
        <w:t xml:space="preserve">regarding the exclusive control of an automotive business  </w:t>
        <w:br/>
        <w:t>by the company Groupe David Gerbier</w:t>
      </w:r>
    </w:p>
    <w:p>
      <w:r>
        <w:t xml:space="preserve">The Competition Authority,  </w:t>
        <w:br/>
        <w:t xml:space="preserve">Having regard to the notification file submitted in full to the concentrations service on October 17, 2012, regarding the exclusive control of an automotive business, named "Grands Garages du Limousin," from the Société Commerciale Automobile, by the company Groupe David Gerbier, formalized by a bilateral promise of sale, under suspensive conditions, dated October 15, 2012;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Groupe David Gerbier is a company under French law, owned by the Gerbier consortium. It controls companies that operate Renault, Citroën, Peugeot, Fiat Group, Opel, Toyota, and Kia brand dealerships located in the regions of Languedoc-Roussillon, Limousin, Lorraine, and Rhône-Alpes. These dealerships specialize in the distribution of new and used vehicles, the sale of spare parts and automotive accessories, and the repair and maintenance of vehicles as well as the sale, rental, and maintenance of motorhomes.  </w:t>
        <w:br/>
        <w:t xml:space="preserve">2. The business of the company "Les Grands Garages du Limousin" is a branch of the Société Commerciale Automobile, a company under French law, currently 100% owned by Peugeot SA. This business corresponds to two Peugeot brand automotive dealerships located in the cities of Limoges and Saint-Junien in Haute-Vienne (87).  </w:t>
        <w:br/>
        <w:t xml:space="preserve">3. Groupe David Gerbier has committed, through a bilateral promise of sale dated October 15, 2012, to acquire this business. As it results in the exclusive control of the automotive business Grands Garages du Limousin by Groupe David Gerbier, the notified operation is a concentration operation within the meaning of Article L. 430-1 of the Commercial Code.  </w:t>
        <w:br/>
        <w:t>4. The companies concerned operate one or more retail stores and together achieve a total worldwide turnover of more than 75 million euros (Groupe David Gerbier: 407 million euros in turnover for the fiscal year ending December 31, 2011; the automotive business Grands Garages du Limousin: 81.17 million euros for the same fiscal year). Each achieves in France in the retail sector a turnover exceeding 15 million euros. Given these turnovers, the operation does not have a Community dimension. However, the control thresholds relating to retail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5. In the automotive distribution sector, decisional practice1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vehicle maintenance and repair services; (vii) rental services.  </w:t>
        <w:br/>
        <w:t xml:space="preserve">6. There is no need to challenge these definitions during the examination of the present operation.  </w:t>
        <w:br/>
        <w:t>7. The companies concerned are simultaneously present in six of these markets, namely (i) the distribution of new passenger vehicles to individual customers, (ii) the distribution of new passenger vehicles to professional customers, (iii) the distribution of new commercial vehicles, (iv) the distribution of used vehicles, (v) the distribution of spare parts and automotive accessories, (vi) vehicle maintenance and repair services.</w:t>
      </w:r>
    </w:p>
    <w:p>
      <w:r>
        <w:t xml:space="preserve">B. GEOGRAPHICAL DEFINITION OF MARKETS  </w:t>
        <w:br/>
        <w:t xml:space="preserve">8. Regarding the retail sale of new or used vehicles, spare parts and automotive accessories, and vehicle maintenance and repair services, decisional practice2 adopts a local definition, with the analysis generally conducted at the departmental level.  </w:t>
        <w:br/>
        <w:t xml:space="preserve">1 See in particular Decision No. 09-DCC-01 of the Competition Authority of April 8, 2009, and Decision No. 10-DCC-23 of March 1, 2010.  </w:t>
        <w:br/>
        <w:t>2 See the aforementioned decisions.</w:t>
      </w:r>
    </w:p>
    <w:p>
      <w:r>
        <w:t>9. In the present case, the operation does not result in any overlap of activity at the departmental level, as the notifying party had no activity in the Haute-Vienne department prior to the operation. However, the David Gerbier Group is active in two neighboring departments, which are Corrèze and Dordogne. Given the proximity of the concessions it operates there, the competitive analysis will therefore also be conducted in an area including, in addition to Haute-Vienne, the departments of Corrèze and Dordogne.</w:t>
      </w:r>
    </w:p>
    <w:p>
      <w:r>
        <w:t xml:space="preserve">III. Competitive Analysis  </w:t>
        <w:br/>
        <w:t xml:space="preserve">10. Regarding the calculation of market shares, decisional practice3 considers as an indicator the ratio between the sales of new vehicles made by the parties in the departments concerned by the transaction and the total registrations of new vehicles recorded in those same departments by the prefectures.  </w:t>
        <w:br/>
        <w:t xml:space="preserve">11. At the departmental level, since the Groupe David Gerbier had no activity in Haute-Vienne prior to the operation, it does not result in any overlap of activity. The activities of the target business represent 18.4% of the market for the distribution of new passenger vehicles to individual customers, 21.9% of the market for the distribution of new passenger vehicles to professional customers, 21.3% of the market for the distribution of new commercial vehicles, and 2.9% of the market for the distribution of used vehicles in the Haute-Vienne department. The new entity will therefore continue to face competition from numerous operators, notably the Faurie, Hory, and Jean Rouyer groups.  </w:t>
        <w:br/>
        <w:t xml:space="preserve">12. Considering the effects of the operation on a broader area including, in addition to Haute-Vienne, Corrèze and Dordogne, does not change this finding. The entity resulting from the concentration will indeed hold only limited market shares with 12.6% of the market for the distribution of new passenger vehicles to individual customers, 16.3% of the market for the distribution of new passenger vehicles to professional customers, 14.4% of the market for the distribution of new commercial vehicles, and 2.4% of the market for the distribution of used vehicles.  </w:t>
        <w:br/>
        <w:t xml:space="preserve">13. In the market for the retail sale of spare parts and automotive accessories and in the market for vehicle maintenance and repair services, the parties have not been able to provide their market shares. However, it should be noted that Groupe David Gerbier will face competition from other independent Peugeot brand dealers and garages and repairers authorized by this brand. It will also face competition from numerous independent garages and repairers and specialized brands such as Midas, Centres AD, Speedy, Feu Vert, or Norauto, which may offer consumers identical or equivalent quality spare parts and accessories, as well as vehicle maintenance and repair services similar to those distributed by Groupe David Gerbier.  </w:t>
        <w:br/>
        <w:t xml:space="preserve">14. In light of the above elements, the operation is not likely to harm competition in the relevant markets.  </w:t>
        <w:br/>
        <w:t>3 See the aforementioned decisions.</w:t>
      </w:r>
    </w:p>
    <w:p>
      <w:r>
        <w:rPr>
          <w:b/>
        </w:rPr>
        <w:t>[Pages 4–4]</w:t>
      </w:r>
    </w:p>
    <w:p>
      <w:r>
        <w:t xml:space="preserve">DECIDES  </w:t>
        <w:br/>
        <w:t xml:space="preserve">Sole Article: The operation notified under number 12-169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