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https://www.autoritedelaconcurrence.fr/fr/decision-de-controle-des-concentrations/relative-la-prise-de-controle-exclusif-dun-portefeuille-de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24-DCC-221 of October 15, 2024  </w:t>
        <w:br/>
        <w:t xml:space="preserve">regarding the exclusive control acquisition of a portfolio of companies  </w:t>
        <w:br/>
        <w:t>deploying fiber optic networks by the company Vauban Infra Fibre</w:t>
      </w:r>
    </w:p>
    <w:p>
      <w:r>
        <w:t>The Competition Authority,</w:t>
      </w:r>
    </w:p>
    <w:p>
      <w:r>
        <w:t xml:space="preserve">Having regard to the complete notification file sent to the mergers department on  </w:t>
        <w:br/>
        <w:t xml:space="preserve">September 23, 2024, concerning the exclusive control acquisition of a portfolio of companies deploying  </w:t>
        <w:br/>
        <w:t xml:space="preserve">fiber optic networks by the company Vauban Infra Fibre formalized by a share and current account receivables acquisition and transfer contract concluded on  </w:t>
        <w:br/>
        <w:t>August 7,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the company Vauban Infra Fibre of the  </w:t>
        <w:br/>
        <w:t xml:space="preserve">interests held by the Caisse des dépôts et consignations (CDC) and the corresponding current account receivables in eight companies (ADTIM Holding, ADTIM, Aisne THD,  </w:t>
        <w:br/>
        <w:t xml:space="preserve">Axione Infrastructures, BERRY THD, Eure Normandie THD, Fibre 44 and THD 59-62) which are  </w:t>
        <w:br/>
        <w:t xml:space="preserve">already jointly controlled by the company Vauban Infra Fibre alongside the CDC. These target companies  </w:t>
        <w:br/>
        <w:t xml:space="preserve">are active in France in the sector of deploying and operating fiber optic networks as well as marketing  </w:t>
        <w:br/>
        <w:t xml:space="preserve">internet access services in the wholesale markets related to these fiber optic networks. The operation  </w:t>
        <w:br/>
        <w:t xml:space="preserve">constitutes a concentration within the meaning of Article L. 430-1 of the Commercial Code. Given the  </w:t>
        <w:br/>
        <w:t xml:space="preserve">turnover generated by the companies concerned, the operation does not fall under the jurisdiction of the  </w:t>
        <w:br/>
        <w:t xml:space="preserve">European Union. However, the control thresholds mentioned in I of Article L. 430-2 of the Commercial Code  </w:t>
        <w:br/>
        <w:t xml:space="preserve">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24-231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