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https://www.autoritedelaconcurrence.fr/fr/decision-de-controle-des-concentrations/relative-la-prise-de-controle-exclusif-dune-activite-de-la</w:t>
      </w:r>
    </w:p>
    <w:p>
      <w:r>
        <w:t>Pages translated : 6</w:t>
      </w:r>
    </w:p>
    <w:p/>
    <w:p>
      <w:r>
        <w:rPr>
          <w:b/>
        </w:rPr>
        <w:t>[Pages 1–3]</w:t>
      </w:r>
    </w:p>
    <w:p>
      <w:r>
        <w:t xml:space="preserve">FRENCH REPUBLIC  </w:t>
        <w:br/>
        <w:t xml:space="preserve">Decision No. 13-DCC-133 of September 26, 2013  </w:t>
        <w:br/>
        <w:t>regarding the exclusive control of an activity of Daher International by the Norbert Dentressangle group</w:t>
      </w:r>
    </w:p>
    <w:p>
      <w:r>
        <w:t xml:space="preserve">The Competition Authority,  </w:t>
        <w:br/>
        <w:t xml:space="preserve">Having regard to the notification file submitted in full to the merger service on August 23, 2013, regarding the exclusive control by the Norbert Dentressangle group of assets belonging to Daher International, formalized by a transfer agreement signed on July 15, 2013;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Norbert Dentressangle group is a French group active in the sectors of logistics, transport, and freight forwarding. The parent company of the group, Norbert Dentressangle SA, is listed on the Eurolist market of Euronext Paris. The company Norbert Dentressangle Overseas (hereinafter "NDO"), a 100% subsidiary of Norbert Dentressangle SA, is the holding company for the freight forwarding division of the Norbert Dentressangle group. The company Norbert Dentressangle Overseas France (hereinafter "NDO France"), a 100% subsidiary of NDO, manages the freight forwarding activities of the Norbert Dentressangle group for France.  </w:t>
        <w:br/>
        <w:t xml:space="preserve">2. Daher International belongs to the Daher group, which is a supplier primarily involved in the aerospace and defense, nuclear and energy sectors, as well as in capital goods.  </w:t>
        <w:br/>
        <w:t xml:space="preserve">3. Under the transfer agreement signed on July 15, 2013, it is provided that the companies NDO France and NDO acquire, from Daher International, respectively a business located in France, whose freight forwarding activity is carried out in France through eight agencies located near the main ports and airports, and a subsidiary located in Russia, the company Daher CIS (hereinafter "Daher CIS"), also active in the freight forwarding sector. In that it results in the acquisition of exclusive control of an activity of Daher International by the Norbert Dentressangle group, the notified operation constitutes a concentration within the meaning of Article L. 430-1 of the Commercial Code.  </w:t>
        <w:br/>
        <w:t>4. The companies concerned together achieve a total worldwide turnover of more than 150 million euros (Norbert Dentressangle group: [...] euros for the last financial year ended December 31, 2012; target business and Daher CIS: [...] euros for the last financial year ended December 31, 2012). At least two of these companies achieve a turnover in France exceeding 50 million euros (Norbert Dentressangle group: [...] euros for the last financial year ended December 31, 2012; target business and Daher CIS: [...] euros for the last financial year ended December 31, 2012).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present operation involves an overlap of activities in the freight forwarding market.  </w:t>
        <w:br/>
        <w:t>6. The Norbert Dentressangle group is also present in the sectors of freight transport and logistics, which are generally considered to be vertically linked to the freight forwarding activity. They will therefore be analyzed in terms of vertical effects.</w:t>
      </w:r>
    </w:p>
    <w:p>
      <w:r>
        <w:t xml:space="preserve">A. FREIGHT FORWARDING  </w:t>
        <w:br/>
        <w:t xml:space="preserve">7. According to the French and European competition authorities, the freight forwarding activity is defined as "the organization of the transport of goods (which may include, in addition to the transport itself, various other services, such as customs clearance or warehousing) on behalf of clients according to their needs."  </w:t>
        <w:br/>
        <w:t xml:space="preserve">8. Within freight forwarding, the competition authorities have considered a finer segmentation of this market according to (i) the mode of transport used, whether by air, sea, or land (including rail and road transport) or according to (ii) the national or international nature of the transport. Regarding land freight forwarding, the distinction between road and rail freight forwarding has been envisaged, but the exact delineation of this market has been left open. It does not affect the conclusions of the competitive analysis in this case.  </w:t>
        <w:br/>
        <w:t>9. French and European decision-making practice has considered that the market for road freight transport and its segmentations generally have a national dimension and are evolving towards a European dimension. In this case, the question of the geographical delineation of this market can be left open insofar as the conclusions of the competitive analysis remain unchanged regardless of the hypothesis adopted.</w:t>
      </w:r>
    </w:p>
    <w:p>
      <w:r>
        <w:t xml:space="preserve">B. FREIGHT TRANSPORT  </w:t>
        <w:br/>
        <w:t xml:space="preserve">10. As indicated by the European Commission, "the rail freight transport market is indeed an upstream market of land freight forwarding, since the latter relies on the use of various means of land transport such as road, rail, or inland waterways that can generally be used interchangeably by operators."  </w:t>
        <w:br/>
        <w:t xml:space="preserve">11. French and European decision-making practice has made a distinction between (i) air transport, (ii) sea transport, and (iii) land transport of goods and has retained a finer segmentation of the land transport market of goods according to whether the transport is carried out by train, by road, by navigable waterway, or by pipeline.  </w:t>
        <w:br/>
        <w:t>12. Within road freight transport, several segmentations have been envisaged by decision-making practice according to (i) the domestic or cross-border nature of the transport, (ii) the type of products transported (the market for the transport of hazardous materials or temperature-controlled goods has been considered as specific markets), (iii) the type of offers proposed (dedicated transport, full truckload transport, groupage transport, and courier transport), and (iv) the mode of packaging (transport of packaged goods, transport of bulk goods).</w:t>
      </w:r>
    </w:p>
    <w:p>
      <w:r>
        <w:rPr>
          <w:b/>
        </w:rPr>
        <w:t>[Pages 4–6]</w:t>
      </w:r>
    </w:p>
    <w:p>
      <w:r>
        <w:t>13. In any event, the question of market segmentation can be left open, insofar as, regardless of the hypothesis adopted, the conclusions of the competitive analysis will remain unchanged.</w:t>
      </w:r>
    </w:p>
    <w:p>
      <w:r>
        <w:t>14. French15 and European16 decision-making practice has considered that the market for road freight transport and its segmentations generally have a national dimension and are evolving towards a European dimension17. However, the exact delineation of these markets has been left open18. It does not alter the conclusions of the competitive analysis in this case.</w:t>
      </w:r>
    </w:p>
    <w:p>
      <w:r>
        <w:t>C. LOGISTICS SERVICES</w:t>
      </w:r>
    </w:p>
    <w:p>
      <w:r>
        <w:t>15. The European Commission considers that transport commissioning can be regarded as upstream of the logistics services market, insofar as the companies providing logistics services are likely to offer their clients transport commissioning services19.</w:t>
      </w:r>
    </w:p>
    <w:p>
      <w:r>
        <w:t>16. The decision-making practice of competition authorities has defined logistics services as involving "the various links in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the transport of goods at a time and place defined by the client"20.</w:t>
      </w:r>
    </w:p>
    <w:p>
      <w:r>
        <w:t>17. Narrower segmentations of logistics services have also been considered by national competition authorities, particularly regarding "cold chain" products, transported under negative temperature21. Competition authorities22 have also considered several possible segmentations of the logistics services market, depending in particular on its domestic or cross-border nature, the type of products transported, or the clients served (IAA, GMS, RHF)23. However, the question of the exact definition of the market has remained open. The European Commission has generally considered, while leaving the question open, that logistics services constituted a market, regardless of, in particular, the nature of the goods (perishable goods, toxic products, flammable products, etc.), given the fact, for example, that the majority of logistics operators can easily adapt to the requirements of supply and demand.</w:t>
      </w:r>
    </w:p>
    <w:p>
      <w:r>
        <w:t>18. In any event, the question of market segmentation can be left open, insofar as, regardless of the hypothesis adopted, the conclusions of the competitive analysis will remain unchanged.</w:t>
      </w:r>
    </w:p>
    <w:p>
      <w:r>
        <w:t>19. According to the practice of national and community competition authorities24, the markets for logistics services are of national dimension. There is no reason to challenge this delineation in the present decision.</w:t>
      </w:r>
    </w:p>
    <w:p>
      <w:r>
        <w:t>III. Competitive Analysis</w:t>
      </w:r>
    </w:p>
    <w:p>
      <w:r>
        <w:t>A. HORIZONTAL EFFECTS</w:t>
      </w:r>
    </w:p>
    <w:p>
      <w:r>
        <w:t>20. The parties are only simultaneously present in the cross-border "freight forwarding" market, by land (road transport), air, and sea. In France, the presence of the Norbert Dentressangle group in these market segmentations is marginal (less than or equal to [0-5]% for each segment) and therefore does not significantly increase the weight of the target following the operation. The combined market share of the parties in each of these market segmentations is consequently very low and does not exceed [0-5]% in France, and [0-5]% in Europe.</w:t>
      </w:r>
    </w:p>
    <w:p>
      <w:r>
        <w:t>21. Furthermore, this market is particularly fragmented with a significant number of companies. Thus, the market shares of each of the main operators in the market, namely Bolloré, Gefco, DHL, Kuehne+Nagel, and Geodis do not exceed [10-20]% in the French market. In Europe, none of the sector's competitors holds more than [5-10]% market share.</w:t>
      </w:r>
    </w:p>
    <w:p>
      <w:r>
        <w:t>22. The operation is therefore not likely to harm competition through horizontal effects in the transport commissioning services market.</w:t>
      </w:r>
    </w:p>
    <w:p>
      <w:r>
        <w:t>B. VERTICAL EFFECTS</w:t>
      </w:r>
    </w:p>
    <w:p>
      <w:r>
        <w:t>23. A vertical concentration can restrict competition by making access to the markets in which the new entity will be active more difficult,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of competition authorities generally rules out lock-in risks when the share of the company resulting from the operation in the relevant markets does not exceed 30%.</w:t>
      </w:r>
    </w:p>
    <w:p>
      <w:r>
        <w:t>24. In this case, regardless of the market delineation adopted, the market shares of the Norbert Dentressangle group in the freight transport market and in logistics are very low and do not exceed [5-10]%:</w:t>
        <w:br/>
        <w:t>- Regarding the freight transport market, the Norbert Dentressangle group only offers road freight transport services. Its market shares in this sector do not exceed [5-10]%, regardless of the market definition adopted. Its main French competitors, SNCF Geodis, SDV, and Gefco do not total more than [10-20]% market share each. In Europe, the market shares of DB Schenker, SNCF, and DHL Freight do not exceed [5-10]%;</w:t>
        <w:br/>
        <w:t>- Regarding the logistics market, the market share of the Norbert Dentressangle group does not exceed [5-10]%, regardless of the definition of the relevant market. The main competitors of the group in France, namely Geodis, Kuehne+Nagel, and DHL do not hold more than [10-20]% market share.</w:t>
      </w:r>
    </w:p>
    <w:p>
      <w:r>
        <w:t>25. It follows from the above that the operation is not likely to harm competition through vertical effects.</w:t>
      </w:r>
    </w:p>
    <w:p>
      <w:r>
        <w:t>DECIDES</w:t>
      </w:r>
    </w:p>
    <w:p>
      <w:r>
        <w:t>Sole Article: The operation notified under number 13-120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