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https://www.autoritedelaconcurrence.fr/fr/decision-de-controle-des-concentrations/relative-la-prise-de-controle-exclusif-dune-concession</w:t>
      </w:r>
    </w:p>
    <w:p>
      <w:r>
        <w:t>Pages translated : 2</w:t>
      </w:r>
    </w:p>
    <w:p/>
    <w:p>
      <w:r>
        <w:rPr>
          <w:b/>
        </w:rPr>
        <w:t>[Pages 1–2]</w:t>
      </w:r>
    </w:p>
    <w:p>
      <w:r>
        <w:t xml:space="preserve">FRENCH REPUBLIC  </w:t>
        <w:br/>
        <w:t xml:space="preserve">Decision No. 15-DCC-13 of February 16, 2015  </w:t>
        <w:br/>
        <w:t xml:space="preserve">regarding the exclusive control of a Citroën dealership in Metz  </w:t>
        <w:br/>
        <w:t xml:space="preserve">by the Car Avenue group  </w:t>
        <w:br/>
        <w:t xml:space="preserve">The Competition Authority,  </w:t>
        <w:br/>
        <w:t xml:space="preserve">Having regard to the complete notification file sent to the mergers department on January 26, 2015,  </w:t>
        <w:br/>
        <w:t xml:space="preserve">concerning the exclusive control of the Citroën business in Metz by the Car Avenue group, through its French holding company, SCB, and materialized by a synallagmatic promise of sale of business dated December 19,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the Citroën business in Metz, operating a car dealership in the city of Metz (57), by the company SCB, the holding company of the Car Avenue group, active in automobile distribution in Moselle (57), in Meurthe and Moselle (54), in Bas-Rhin (67) and in Haut-Rhin (68). This operation constitutes a concentration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15-008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