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https://www.autoritedelaconcurrence.fr/fr/decision-de-controle-des-concentrations/relative-la-prise-de-controle-exclusif-dune-partie-des-0</w:t>
      </w:r>
    </w:p>
    <w:p>
      <w:r>
        <w:t>Pages translated : 2</w:t>
      </w:r>
    </w:p>
    <w:p/>
    <w:p>
      <w:r>
        <w:rPr>
          <w:b/>
        </w:rPr>
        <w:t>[Pages 1–2]</w:t>
      </w:r>
    </w:p>
    <w:p>
      <w:r>
        <w:t>FRENCH REPUBLIC</w:t>
        <w:br/>
        <w:t>Decision No. 13-DCC-83 of July 4, 2013</w:t>
        <w:br/>
        <w:t>regarding the exclusive control acquisition of part of the outsourced document processing activities of the Pitney Bowes group by Bavaria Industriekapital AG</w:t>
        <w:br/>
        <w:t>The Competition Authority,</w:t>
        <w:br/>
        <w:t>Having regard to the complete notification file submitted to the mergers department on June 11, 2013, concerning the exclusive control acquisition of part of the outsourced document processing activities of the Pitney Bowes group by Bavaria Industriekapital AG;</w:t>
        <w:br/>
        <w:t>Having regard to Book IV of the Commercial Code relating to the freedom of prices and competition, and in particular its Articles L. 430-1 to L. 430-7;</w:t>
        <w:br/>
        <w:t>Adopts the following decision:</w:t>
        <w:br/>
        <w:t>1. The notified operation consists of the exclusive control acquisition of part of the outsourced document processing activities of the Pitney Bowes group, which operates in French territory through the companies Pitney Bowes Asterion SAS and its subsidiary Pitney Bowes Asterion Direct SAS, by the investment fund Bavaria Industriekapital AG. It constitutes a concentration operation within the meaning of Article L. 430-1 of the Commercial Code. Given the turnover generated by the companies concerned,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13-094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