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https://www.autoritedelaconcurrence.fr/fr/decision-de-controle-des-concentrations/relative-la-prise-de-controle-exclusif-dune-partie-des</w:t>
      </w:r>
    </w:p>
    <w:p>
      <w:r>
        <w:t>Pages translated : 4</w:t>
      </w:r>
    </w:p>
    <w:p/>
    <w:p>
      <w:r>
        <w:rPr>
          <w:b/>
        </w:rPr>
        <w:t>[Pages 1–3]</w:t>
      </w:r>
    </w:p>
    <w:p>
      <w:r>
        <w:t xml:space="preserve">FRENCH REPUBLIC  </w:t>
        <w:br/>
        <w:t xml:space="preserve">Decision No. 11-DCC-180 of December 7, 2011  </w:t>
        <w:br/>
        <w:t>regarding the exclusive control of part of the assets of the Anovo group by Butler Capital Partners SA</w:t>
      </w:r>
    </w:p>
    <w:p>
      <w:r>
        <w:t xml:space="preserve">The Competition Authority,  </w:t>
        <w:br/>
        <w:t xml:space="preserve">Having regard to the notification file submitted to the merger service on October 18, 2011, and declared complete on November 2, 2011, concerning the exclusive control of part of the assets of the Anovo group by Butler Capital Partners, formalized by a takeover offer dated July 27, 2011, and by a judgment of the Commercial Court of Beauvais dated October 28, 2011;  </w:t>
        <w:br/>
        <w:t xml:space="preserve">Having regard to Book IV of the Commercial Code relating to price freedom and competition, and in particular Articles L. 430-1 to L. 430-7;  </w:t>
        <w:br/>
        <w:t xml:space="preserve">Having regard to the supplementary elements submitted by the parties during the investigation;  </w:t>
        <w:br/>
        <w:t>Adopts the following decision:</w:t>
      </w:r>
    </w:p>
    <w:p>
      <w:r>
        <w:t xml:space="preserve">I. The companies concerned and the operation  </w:t>
        <w:br/>
        <w:t>1. Butler Capital Partners (hereinafter "BCP") is a portfolio management company whose capital is held to the extent of […] % by WB Finance et Partenaires (hereinafter "WBFP"). WBFP is itself controlled by Mr. Walter Butler (hereinafter "the BCP group"). BCP currently manages the FCPR France Private Equity II (hereinafter "FPEII") and France Private Equity III (hereinafter "FPEIII") which hold controlling interests in companies active in various sectors such as the rental of aerial work platforms and forklifts, costume items, masks and party favors, the production, processing and marketing of mushrooms, road transport, IT services, the manufacturing of rubber injection molding machines, express delivery and industrial messaging as well as the distribution of cultural products. BCP thus holds exclusive control of the company Sernam, a company active in the messaging and transport market.</w:t>
      </w:r>
    </w:p>
    <w:p>
      <w:r>
        <w:t>2. Anovo SA is the head company of a group of companies specializing in after-sales service for digital devices for a clientele composed of major clients (manufacturers, operators, distributors) wishing to outsource the maintenance service of their devices (renovation/repair of decoders, modems, boxes, computers, mobile phones, etc.). The main activities of Anovo are the repair, regeneration, logistics, and warranty extension of technological products.</w:t>
      </w:r>
    </w:p>
    <w:p>
      <w:r>
        <w:t>3. Under the judgment of the Commercial Court of Beauvais, it is provided that Anovo Expansion, created by BCP for the needs of this operation, acquires all the capital and voting rights of Anovo France and Anovo Immo SA.</w:t>
      </w:r>
    </w:p>
    <w:p>
      <w:r>
        <w:t>4. Insofar as it results in the exclusive control of part of the assets of the Anovo group by BCP (the "target assets"), the notified operation constitutes a concentration within the meaning of Article L. 430-1 of the Commercial Code. The companies concerned have achieved a consolidated worldwide turnover excluding taxes of more than 150 million euros in the last closed financial year (target assets: […] million euros for the 2011 financial year; Butler Capital Partners: […] million euros for the 2010 financial year). Each of these companies has achieved, in France, a turnover exceeding 50 million euros (target assets: […] million euros for the 2011 financial year; Butler Capital Partners: […] million euros for the 2010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The activities of Anovo and those of Sernam overlap very marginally in the logistics services they offer to their clients.</w:t>
      </w:r>
    </w:p>
    <w:p>
      <w:r>
        <w:t>6. Decision-making practice defines logistics services as those that connect the various links of a supply chain of goods between an origin point and a destination point, in order to optimally manage the flow and storage of said goods. This activity can be assimilated to a global offer, as it combines a set of services such as, in particular, storage, inventory management, order taking, and the transport of goods at a time and place defined by the client.</w:t>
      </w:r>
    </w:p>
    <w:p>
      <w:r>
        <w:t>7. It follows from decision-making practice that it is not necessary to segment the logistics services market by product category insofar as the majority of logistics operators can easily adapt to supply and demand requirements regardless of the product category. The existence of distinct markets for certain products requiring special handling has, however, been recognized.</w:t>
      </w:r>
    </w:p>
    <w:p>
      <w:r>
        <w:t>8. Finally, from a geographical perspective, decision-making practice considers that the logistics market has a national dimension.</w:t>
      </w:r>
    </w:p>
    <w:p>
      <w:r>
        <w:t>9. The exact delineation of the logistics market can, however, be left open insofar as the conclusions of the competitive analysis remain unchanged regardless of the hypothesis adopted.</w:t>
      </w:r>
    </w:p>
    <w:p>
      <w:r>
        <w:t xml:space="preserve">III. Competitive analysis  </w:t>
        <w:br/>
        <w:t>10. The operation results in an overlap of activity in the only national logistics market, with both parties offering logistics services to their clients in addition to the services that constitute their core business (messaging for Sernam and repair of electrical equipment for Anovo). Anovo thus manages for some of its clients the entire logistics flow, from outsourced order management ("forward logistics") to return operations ("reverse logistics"). Sernam offers the provision of logistics spaces, with or without storage services, in about fifteen warehouses located throughout France.</w:t>
      </w:r>
    </w:p>
    <w:p>
      <w:r>
        <w:t>11. The notifying party indicated that the French logistics market represents approximately 120 billion euros. With turnover figures of […] and […] million euros respectively, the activities of Anovo and Sernam will only represent an estimated market share of less than [0-5] %. The operation is therefore not likely to harm competition through horizontal effects.</w:t>
      </w:r>
    </w:p>
    <w:p>
      <w:r>
        <w:rPr>
          <w:b/>
        </w:rPr>
        <w:t>[Pages 4–4]</w:t>
      </w:r>
    </w:p>
    <w:p>
      <w:r>
        <w:t xml:space="preserve">DECIDES  </w:t>
        <w:br/>
        <w:t xml:space="preserve">Sole Article: The operation notified under number 11-187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