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https://www.autoritedelaconcurrence.fr/fr/decision-de-controle-des-concentrations/relative-la-prise-de-controle-exclusif-dune-partie-du-pole</w:t>
      </w:r>
    </w:p>
    <w:p>
      <w:r>
        <w:t>Pages translated : 92</w:t>
      </w:r>
    </w:p>
    <w:p/>
    <w:p>
      <w:r>
        <w:rPr>
          <w:b/>
        </w:rPr>
        <w:t>[Pages 1–3]</w:t>
      </w:r>
    </w:p>
    <w:p>
      <w:r>
        <w:t xml:space="preserve">FRENCH REPUBLIC  </w:t>
        <w:br/>
        <w:t xml:space="preserve">Decision No. 18-DCC-95 of June 14, 2018  </w:t>
        <w:br/>
        <w:t>regarding the exclusive control of part of the ambient prepared dishes sector of the Agripole group by the company Financière Cofigeo</w:t>
      </w:r>
    </w:p>
    <w:p>
      <w:r>
        <w:t xml:space="preserve">The Competition Authority (section I B),  </w:t>
        <w:br/>
        <w:t xml:space="preserve">Having regard to the notification file sent to the merger service on May 19, 2017, declared complete on October 27, 2017, concerning the acquisition by the company Financière Cofigeo SAS of exclusive control over certain assets of the ambient prepared dishes sector of the Agripole group;  </w:t>
        <w:br/>
        <w:t xml:space="preserve">Having regard to Book IV of the Commercial Code relating to the freedom of prices and competition, and in particular its Articles L. 430-1 to L. 430-7;  </w:t>
        <w:br/>
        <w:t xml:space="preserve">Having regard to Decision No. 17-DEX-03 of December 4, 2017, opening an in-depth examination pursuant to the last paragraph of III of Article L. 430-5 of the Commercial Code;  </w:t>
        <w:br/>
        <w:t xml:space="preserve">Having regard to the observations presented by the representatives of Financière Cofigeo on May 3, 2018, in response to the report of the investigation services dated April 11, 2018;  </w:t>
        <w:br/>
        <w:t xml:space="preserve">Having regard to the commitments presented on May 16, 2018, and last modified on June 11, 2018, by Financière Cofigeo;  </w:t>
        <w:br/>
        <w:t xml:space="preserve">Having regard to the observations presented by the representatives of Financière Cofigeo on June 11 and 12, 2018, in response to the communication of the draft decision;  </w:t>
        <w:br/>
        <w:t xml:space="preserve">Having regard to the other documents in the file;  </w:t>
        <w:br/>
        <w:t xml:space="preserve">The rapporteurs, the deputy general rapporteur, the Government Commissioner, and the representatives of Financière Cofigeo heard during the session of May 14, 2018;  </w:t>
        <w:br/>
        <w:t xml:space="preserve">The representatives of the companies [...], Groupe Carrefour, ITM Alimentaire International, Groupe Panzani, the interministerial committee for industrial restructuring, and Me Abitbol, judicial conciliator, heard on the basis of the provisions of Article L. 430-6, paragraph 3 of the Commercial Code;  </w:t>
        <w:br/>
        <w:t>Adopts the following decision:</w:t>
      </w:r>
    </w:p>
    <w:p>
      <w:r>
        <w:t xml:space="preserve">Summary1  </w:t>
        <w:br/>
        <w:t xml:space="preserve">On June 12, 2017, the company Financière Cofigeo (hereinafter, "Cofigeo") notified the Competition Authority of the acquisition of certain assets of the ambient prepared dishes sector of the Agripole group (William Saurin company and some of its subsidiaries). Both parties are primarily active in the markets for the production and marketing to large retailers (GMS) of canned prepared dishes (PCA). This operation is part of the dismantling of the Financière Turenne Lafayette (FTL) group, the parent holding of the group controlled by Ms. Piffaut, which notably held William Saurin and its subsidiaries. It benefited from a derogation from the suspensive nature of merger control on July 12, 2017. Considering the existence of serious risks of harm to competition, the Competition Authority opened an in-depth examination procedure (phase 2) on December 4, 2017.  </w:t>
        <w:br/>
        <w:t xml:space="preserve">At the end of the operation, and without remedy, the new entity would become a leader in many PCA markets, with positions exceeding 70% in the markets for the production and marketing of Italian prepared dishes (PCI) and exotic prepared dishes (PCE), possibly segmented between manufacturer brands (MDF) and distributor brands (MDD). Furthermore, the new entity will hold all the well-known brands in the market for canned and jarred PCA (William Saurin, Panzani – operated under license, Garbit, Raynal &amp; Roquelaure, Zapetti), which play a decisive role in consumer choice. Finally, the study of internal documents and economic analyses (notably concerning diversion ratios and GUPPI indices between the parties) showed the strong competitive proximity of the parties' products and the existence of a risk of significant price increases following the operation.  </w:t>
        <w:br/>
        <w:t xml:space="preserve">In light of these elements, the Competition Authority considered that the operation is likely to generate significant effects on the prices of PCI and PCE products marketed by the parties in France and that no countervailing power would discipline the new entity.  </w:t>
        <w:br/>
        <w:t xml:space="preserve">Firstly, while the notifying party alleged that the application of price increases on the products of the new entity could render some of its production sites unprofitable, which would discourage it from raising its prices, the Competition Authority found that this risk was not established by the notifying party (which had not taken into account in its analyses the increase in unit margin resulting from a price increase of its products).  </w:t>
        <w:br/>
        <w:t xml:space="preserve">Secondly, operators present in the market do not have significant available production capacities in the PCI and PCE markets, which are also characterized by a very low probability of entry of a new operator active in a related market (such as the manufacture of fresh or frozen products or canned and jarred vegetables, for example). Moreover, foreign operators do not represent a source of competitive pressure capable of disciplining the new entity, given the difficulties of access to the French market.  </w:t>
        <w:br/>
        <w:t xml:space="preserve">Due to the weakness of the available production capacities of the parties' competitors, the concentration of brands within the new entity, and the absence of potential competitive pressure, the Competition Authority considered that large retail brands would no longer have a credible alternative following the operation. It therefore ruled out the existence of a countervailing demand on the PCI and PCE markets.  </w:t>
        <w:br/>
        <w:t xml:space="preserve">The notifying party also invoked the failing firm defense to justify the authorization of the operation, without remedy, in application of the criteria established by the case law of the Court of Justice of the European Union and the Council of State (Seb/Moulinex ruling). To admit this exception, three cumulative criteria must be met.  </w:t>
        <w:br/>
        <w:t xml:space="preserve">While it is established in this case that the FTL group would have gone bankrupt in the short term in the absence of a takeover during the year 2017, the detailed analysis of the divestiture process established that there was at least one credible alternative takeover offer that was less harmful to competition. Therefore, the second criterion for the applicability of the failing firm defense is not met.  </w:t>
        <w:br/>
        <w:t xml:space="preserve">In view of the extent of the horizontal effects induced by the operation, which results in the creation of a quasi-monopoly in the PCI and PCE production markets, and the risk of conglomerate effects in the French prepared dishes (PCF) markets and microwavable trays, which could eliminate competitors of the new entity, the Competition Authority considered that only structural remedies involving divestitures of brands and production capacities would be capable of addressing the competition concerns raised by the notified operation.  </w:t>
        <w:br/>
        <w:t xml:space="preserve">However, the commitment ultimately proposed by Cofigeo, which mainly consisted of offering any third-party operator the conclusion of an industrial subcontracting contract for the production of canned PCI or PCE under MDF, without divestiture or licensing of a brand operated by the new entity, was deemed insufficient to remedy the identified anticompetitive risks. The Competition Authority notably noted that brands play an important role in consumer choice in this market and are a source of essential profitability for operators.  </w:t>
        <w:br/>
        <w:t xml:space="preserve">The Competition Authority therefore decided to exercise its injunction power to authorize the operation.  </w:t>
        <w:br/>
        <w:t xml:space="preserve">It ruled out the option of entirely prohibiting the operation, considering that the significant strengthening of Cofigeo's position in the PCF market did not lead to too strong a degradation of competition.  </w:t>
        <w:br/>
        <w:t xml:space="preserve">Due to the structure of the assets held by the new entity (which does not own the Panzani brand) following the operation, the Competition Authority orders Cofigeo to divest the Zapetti brand, active in the PCI and PCE markets, accompanied by production capacities allowing its operation by a new operator in these two markets. The new entity holding, following the operation, two production sites that could allow the exploitation of the Zapetti brand, the Competition Authority considered that it was possible to allow Cofigeo to determine which of these two sites would be divested.  </w:t>
        <w:br/>
        <w:t xml:space="preserve">The divestiture of these assets [Confidential] will preserve a market structure with two operators and thus eliminate the competition concerns established during the investigation. Subject to compliance with these injunctions, the Competition Authority therefore authorized the operation.  </w:t>
        <w:br/>
        <w:t>1 This summary is strictly informative. Only the reasons for the decision numbered below are authoritative.</w:t>
      </w:r>
    </w:p>
    <w:p>
      <w:r>
        <w:rPr>
          <w:b/>
        </w:rPr>
        <w:t>[Pages 4–6]</w:t>
      </w:r>
    </w:p>
    <w:p>
      <w:r>
        <w:t xml:space="preserve">SYNOPSIS  </w:t>
        <w:br/>
        <w:t xml:space="preserve">I. The parties and the operation .................................................................................... 7  </w:t>
        <w:br/>
        <w:t xml:space="preserve">A. The companies involved ................................................................................................ 7  </w:t>
        <w:br/>
        <w:t xml:space="preserve">B. The operation ................................................................................................................ 8  </w:t>
        <w:br/>
        <w:t xml:space="preserve">II. The relevant markets ................................................................................................. 9  </w:t>
        <w:br/>
        <w:t xml:space="preserve">A. Markets for the manufacture and marketing of canned prepared meals .................. 9  </w:t>
        <w:br/>
        <w:t xml:space="preserve">1. Market segmentation for the manufacture and marketing of PCA according to the marketing channel ........................................................................................................ 10  </w:t>
        <w:br/>
        <w:t xml:space="preserve">2. Market segmentation for the manufacture and marketing of PCA packaged in cans and jars in GMS ........................................................................................................ 10  </w:t>
        <w:br/>
        <w:t xml:space="preserve">a. Segmentation according to the geographical origin of recipes .................................. 10  </w:t>
        <w:br/>
        <w:t xml:space="preserve">(i) Reminder of the decision-making practice of competition authorities .................... 11  </w:t>
        <w:br/>
        <w:t xml:space="preserve">(ii) Assessment in the specific case .............................................................................. 11  </w:t>
        <w:br/>
        <w:t xml:space="preserve">(iii) Conclusion on the segmentation of the PCA market according to the geographical origin of recipes .................................................................................................... 13  </w:t>
        <w:br/>
        <w:t xml:space="preserve">b. Sub-segmentation according to the commercial positioning of products ............... 13  </w:t>
        <w:br/>
        <w:t xml:space="preserve">(i) Reminder of the decision-making practice of competition authorities .................... 13  </w:t>
        <w:br/>
        <w:t xml:space="preserve">(ii) Position of the notifying party .............................................................................. 14  </w:t>
        <w:br/>
        <w:t xml:space="preserve">(iii) Assessment in the specific case ............................................................................ 14  </w:t>
        <w:br/>
        <w:t xml:space="preserve">3. Market for the manufacture and marketing of PCA packaged in microwaveable trays in GMS .............................................................................................................. 17  </w:t>
        <w:br/>
        <w:t xml:space="preserve">4. The geographical markets ......................................................................................... 17  </w:t>
        <w:br/>
        <w:t xml:space="preserve">5. General conclusion on the definition of the PCA market ....................................... 18  </w:t>
        <w:br/>
        <w:t xml:space="preserve">B. Markets for the manufacture and marketing of pâtés ............................................... 18  </w:t>
        <w:br/>
        <w:t xml:space="preserve">C. Markets for the manufacture and marketing of hot sauces ..................................... 19  </w:t>
        <w:br/>
        <w:t xml:space="preserve">D. Markets for the manufacture and marketing of canned vegetables ......................... 19  </w:t>
        <w:br/>
        <w:t xml:space="preserve">III. Competitive analysis ............................................................................................... 21  </w:t>
        <w:br/>
        <w:t xml:space="preserve">A. Horizontal effects on the markets for PCA packaged in cans and jars ............... 21  </w:t>
        <w:br/>
        <w:t xml:space="preserve">1. Positions of the new entity and its main competitors .............................................. 22  </w:t>
        <w:br/>
        <w:t xml:space="preserve">a. Estimation of market shares .................................................................................... 22  </w:t>
        <w:br/>
        <w:t xml:space="preserve">(i) On the PCF market ................................................................................................. 23  </w:t>
        <w:br/>
        <w:t xml:space="preserve">(ii) On the PCI market ................................................................................................ 23  </w:t>
        <w:br/>
        <w:t xml:space="preserve">(iii) On the PCE market .............................................................................................. 24  </w:t>
        <w:br/>
        <w:t xml:space="preserve">(iv) Summary of the positions of the new entity ......................................................... 25  </w:t>
        <w:br/>
        <w:t xml:space="preserve">b. Concentration of brands within the new entity ....................................................... 26  </w:t>
        <w:br/>
        <w:t xml:space="preserve">c. Analysis of competitive proximity between Cofigeo and the target companies before the operation ........................................................................................................ 27  </w:t>
        <w:br/>
        <w:t xml:space="preserve">2. Quantitative elements for assessing potential price increases resulting from the operation .................................................................................................................. 31  </w:t>
        <w:br/>
        <w:t xml:space="preserve">a. Analysis of GUPPI indices resulting from distributors' responses to the dedicated market test ............................................................................................................... 31  </w:t>
        <w:br/>
        <w:t xml:space="preserve">(i) Definition ................................................................................................................ 31  </w:t>
        <w:br/>
        <w:t xml:space="preserve">(ii) Application to the specific case ........................................................................... 32  </w:t>
        <w:br/>
        <w:t xml:space="preserve">b. Analysis of the economic study submitted by the notifying party ......................... 34  </w:t>
        <w:br/>
        <w:t xml:space="preserve">(i) Methodology .......................................................................................................... 34  </w:t>
        <w:br/>
        <w:t xml:space="preserve">(ii) Results of the study ............................................................................................... 36  </w:t>
        <w:br/>
        <w:t xml:space="preserve">(iii) Analysis by the Competition Authority ................................................................. 37  </w:t>
        <w:br/>
        <w:t xml:space="preserve">c. Conclusion on the quantitative elements for assessing potential price increases resulting from the operation ....................................................................................... 43  </w:t>
        <w:br/>
        <w:t xml:space="preserve">3. Analysis of the notifying party's arguments regarding elements likely to discipline the competitive behavior of the new entity following the operation .................. 43  </w:t>
        <w:br/>
        <w:t xml:space="preserve">a. On the disciplining nature of the limited profitability of the new entity's production sites ......................................................................................................................... 43  </w:t>
        <w:br/>
        <w:t xml:space="preserve">(i) Position of the notifying party .............................................................................. 43  </w:t>
        <w:br/>
        <w:t xml:space="preserve">(ii) Assessment in the specific case ............................................................................ 43  </w:t>
        <w:br/>
        <w:t xml:space="preserve">b. On the disciplining nature of the competitive pressure exerted by competitors on the new entity ............................................................................................................... 44  </w:t>
        <w:br/>
        <w:t xml:space="preserve">(i) On the competition exerted by current market players on the new entity (current competition) .............................................................................................................. 44  </w:t>
        <w:br/>
        <w:t xml:space="preserve">(ii) On the competitive pressure exerted by potential competitors on the new entity (potential competition) ............................................................................................ 47  </w:t>
        <w:br/>
        <w:t xml:space="preserve">c. On the counter-power of large distribution ............................................................... 48  </w:t>
        <w:br/>
        <w:t xml:space="preserve">(i) Position of the notifying party .............................................................................. 48  </w:t>
        <w:br/>
        <w:t xml:space="preserve">(ii) Assessment in the specific case ............................................................................ 49  </w:t>
        <w:br/>
        <w:t xml:space="preserve">(iii) Conclusion on the counter-power of large distribution ....................................... 53  </w:t>
        <w:br/>
        <w:t xml:space="preserve">B. Horizontal effects generated by the operation on other markets .......................... 53  </w:t>
        <w:br/>
        <w:t xml:space="preserve">1. The manufacture and marketing of PCA packaged in microwaveable trays in GMS .......................................................................................................................... 53  </w:t>
        <w:br/>
        <w:t xml:space="preserve">2. The manufacture and marketing of PCA in the RHF .............................................. 54  </w:t>
        <w:br/>
        <w:t xml:space="preserve">3. The manufacture and marketing of pâtés and various pork-based preparations in GMS .......................................................................................................................... 54  </w:t>
        <w:br/>
        <w:t xml:space="preserve">C. Conglomerate effects ............................................................................................... 54  </w:t>
        <w:br/>
        <w:t xml:space="preserve">D. Conclusion of the competitive analysis .................................................................... 57  </w:t>
        <w:br/>
        <w:t xml:space="preserve">IV. Contributions to economic progress ....................................................................... 57  </w:t>
        <w:br/>
        <w:t xml:space="preserve">V. The failing firm defense ........................................................................................... 59  </w:t>
        <w:br/>
        <w:t xml:space="preserve">A. Criteria for applicability of the failing firm defense ............................................... 59  </w:t>
        <w:br/>
        <w:t xml:space="preserve">B. Application to the specific case ............................................................................... 61  </w:t>
        <w:br/>
        <w:t xml:space="preserve">1. On the risk of rapid disappearance of the target company in the absence of the operation (first criterion) ............................................................................................ 61  </w:t>
        <w:br/>
        <w:t xml:space="preserve">2. On the absence of a less harmful alternative offer for competition, covering all or a substantial part of the company (second criterion) ................................................. 62  </w:t>
        <w:br/>
        <w:t xml:space="preserve">a. Description of the divestiture procedure followed in this case .............................. 62  </w:t>
        <w:br/>
        <w:t xml:space="preserve">b. Position of the notifying party ................................................................................ 64  </w:t>
        <w:br/>
        <w:t xml:space="preserve">c. Assessment in the specific case ............................................................................... 64  </w:t>
        <w:br/>
        <w:t xml:space="preserve">3. Conclusion ................................................................................................................ 70  </w:t>
        <w:br/>
        <w:t xml:space="preserve">VI. Remedies for identified competition infringements ............................................... 71  </w:t>
        <w:br/>
        <w:t xml:space="preserve">A. Assessment of appropriate corrective measures ...................................................... 71  </w:t>
        <w:br/>
        <w:t xml:space="preserve">B. Assessment of the commitment proposed by the notifying party ........................... 72  </w:t>
        <w:br/>
        <w:t xml:space="preserve">1. Initial proposal for commitment .............................................................................. 73  </w:t>
        <w:br/>
        <w:t xml:space="preserve">a. The proposed commitment .................................................................................... 73  </w:t>
        <w:br/>
        <w:t xml:space="preserve">b. Assessment of the proposed commitment .............................................................. 73  </w:t>
        <w:br/>
        <w:t xml:space="preserve">(i) Position of the notifying party .............................................................................. 73  </w:t>
        <w:br/>
        <w:t xml:space="preserve">(ii) Analysis in the specific case ................................................................................ 73  </w:t>
        <w:br/>
        <w:t xml:space="preserve">2. Proposal for modified commitment ......................................................................... 74  </w:t>
        <w:br/>
        <w:t xml:space="preserve">a. The proposed commitment .................................................................................... 74  </w:t>
        <w:br/>
        <w:t xml:space="preserve">b. Assessment of the proposed commitment .............................................................. 75  </w:t>
        <w:br/>
        <w:t xml:space="preserve">(i) Position of the notifying party .............................................................................. 75  </w:t>
        <w:br/>
        <w:t xml:space="preserve">(ii) Analysis in the specific case ................................................................................ 75  </w:t>
        <w:br/>
        <w:t xml:space="preserve">3. Conclusion on the proposals submitted by the notifying party .............................. 77  </w:t>
        <w:br/>
        <w:t xml:space="preserve">C. The corrective measures retained by the Authority .................................................. 78  </w:t>
        <w:br/>
        <w:t xml:space="preserve">1. Reminder of the identified competition infringements ............................................. 78  </w:t>
        <w:br/>
        <w:t xml:space="preserve">2. Nature of the remedies retained by the Competition Authority ............................... 78  </w:t>
        <w:br/>
        <w:t xml:space="preserve">a. The objectives pursued by the remedies ................................................................. 78  </w:t>
        <w:br/>
        <w:t xml:space="preserve">b. Position of the notifying party ................................................................................ 81  </w:t>
        <w:br/>
        <w:t xml:space="preserve">c. Conclusion on the nature of the remedies retained by the Competition Authority ... 81  </w:t>
        <w:br/>
        <w:t xml:space="preserve">3. The remedies retained .............................................................................................. 82  </w:t>
        <w:br/>
        <w:t xml:space="preserve">(i) Proposal by Cofigeo .............................................................................................. 87  </w:t>
        <w:br/>
        <w:t xml:space="preserve">(ii) Approval or rejection by the Authority ................................................................. 87  </w:t>
        <w:br/>
        <w:t xml:space="preserve">(iii) New proposal by Cofigeo .................................................................................... 88  </w:t>
        <w:br/>
        <w:t xml:space="preserve">(iv) Mandataries designated by the Competition Authority ........................................ 88  </w:t>
        <w:br/>
        <w:t xml:space="preserve">(i) Duties and obligations of the Mandatary in charge of Control ............................ 88  </w:t>
        <w:br/>
        <w:t>(ii) Duties and obligations of the Mandatary in charge of Divestiture ...................... 89</w:t>
      </w:r>
    </w:p>
    <w:p>
      <w:r>
        <w:rPr>
          <w:b/>
        </w:rPr>
        <w:t>[Pages 7–9]</w:t>
      </w:r>
    </w:p>
    <w:p>
      <w:r>
        <w:t xml:space="preserve">I. The parties and the operation  </w:t>
        <w:br/>
        <w:t xml:space="preserve">A. THE COMPANIES CONCERNED  </w:t>
        <w:br/>
        <w:t xml:space="preserve">1. Financière Cofigeo (hereinafter, "Cofigeo") is a company specialized in the manufacture and marketing of canned prepared meals (hereinafter, "PCA"), canned cooked vegetables, and canned meats, aimed at large retail (hereinafter, "GMS" for large and medium-sized stores) and, to a marginal extent, out-of-home catering (hereinafter, "RHF"). Its products are marketed under manufacturer brands (hereinafter, "MDF") among which the main ones are: Raynal &amp; Roquelaure, Zapetti, Rio, and Liberty. Cofigeo also supplies GMS with products under private labels (hereinafter, "MDD"). Cofigeo is jointly controlled by MBO Partenaires and Société Générale Capital Partenaires.  </w:t>
        <w:br/>
        <w:t xml:space="preserve">2. Cofigeo has three production sites located in Capdenac (production of French prepared meals under MDF and MDD), in Camaret (production of Italian and exotic prepared meals under MDF and MDD and tomato sauces), and in Sainte Livrade sur Lot (production of microwaveable prepared meals and pâtés). It also owns a logistics warehouse located in Capdenac.  </w:t>
        <w:br/>
        <w:t xml:space="preserve">3. The target companies encompass the manufacturing and marketing activity of PCA of the Agripole group, formerly owned by Ms. Piffaut. The group owned by Ms. Piffaut controlled numerous French agri-food companies, such as William Saurin, Madrange, Paul Prédault, Union Biscuit, Tradition Traiteur, Som Baker, Montagne Noire, Pâtes Fraiches Luison, Lorenzi, Choucroute de Campagne, Gringoire, etc. After the death of Ms. Piffaut and the discovery of financial irregularities in the management of the group, it was divided into different business units, successively taken over by new operators to ensure their continuity. The Competition Authority notably authorized the takeover of the cured meat division by the company Cooperl Arc Atlantique. The activity taken over in the context of the present operation consists of the companies William Saurin, Julien Mack, Soulié Restauration, and Choucroute de Campagne (hereinafter, "the target companies" or "the target"). They are active in the production and marketing of PCA to GMS and in RHF. Their products are marketed to GMS under MDF (William Saurin, Julien Mack, Panzani, Garbit, Petitjean, and Marcel Buffle) and under MDD.  </w:t>
        <w:br/>
        <w:t xml:space="preserve">4. The target holds two production sites located in Lagny-sur-Marne (production of French prepared meals under MDF and MDD) and in Pouilly-sur-Serre (mainly production of Italian and exotic prepared meals under MDF and MDD). It also owns a logistics warehouse located in Château-Thierry.  </w:t>
        <w:br/>
        <w:t xml:space="preserve">5. The brands William Saurin, Julien Mack, Petitjean, Garbit, and Marcel Buffle are owned outright by the target companies.  </w:t>
        <w:br/>
        <w:t xml:space="preserve">6. Until the end of 2017, the Panzani brand was operated under a trademark license agreement concluded on June 29, 2001, between the companies William Saurin and Panzani. By letter [Confidential], the company Panzani terminated this license agreement, [Confidential].  </w:t>
        <w:br/>
        <w:t xml:space="preserve">7. Following negotiations held during the year 2017, William Saurin Production, a subsidiary of Cofigeo, and Panzani concluded, at the end of 2017 and after the Competition Authority granted Cofigeo a derogation from the suspensive effect of the concentration control, a new exclusive trademark license agreement [Confidential].  </w:t>
        <w:br/>
        <w:t xml:space="preserve">8. Given the preceding elements, the activities related to the marketing of PCA under the Panzani brand by William Saurin Production are integrated into the competitive analysis conducted by the Competition Authority.  </w:t>
        <w:br/>
        <w:t xml:space="preserve">B. THE OPERATION  </w:t>
        <w:br/>
        <w:t xml:space="preserve">9. On June 12, 2017, the Paris commercial court opened a judicial recovery procedure for the benefit of the company William Saurin.  </w:t>
        <w:br/>
        <w:t xml:space="preserve">10. On June 13, 2017, the court-appointed judge of the commercial court issued an order authorizing the lease-management of the business assets of the target companies by Cofigeo.  </w:t>
        <w:br/>
        <w:t xml:space="preserve">11. On July 12, 2017, pursuant to Article L. 430-4 of the Commercial Code which states, in the second paragraph: "In case of a duly justified particular necessity, the parties who have made the notification may request the Competition Authority for a derogation allowing them to proceed with the effective realization of all or part of the concentration without waiting for the decision mentioned in the first paragraph and without prejudice to it. The granting of this derogation may be subject to conditions.", the Competition Authority granted Cofigeo a derogation from the suspensive effect of concentration control so that it could proceed with the effective realization of the acquisition of the target companies, in the event that its takeover bid was accepted by the commercial court. The Competition Authority indeed considered, in accordance with its practice, that the conditions for applying the second paragraph of Article L. 430-4 were met in this case since, in the absence of a derogation, Cofigeo could have found itself automatically, due to the judgment of the commercial court, in violation of Article L. 430-4.  </w:t>
        <w:br/>
        <w:t xml:space="preserve">12. On October 3, 2017, the Paris commercial court issued a judgment confirming the transfer of the target companies to Cofigeo as well as the transfer of the companies Conserverie du Languedoc SAS and CCA Périgord SAS, which were also subsidiaries of the Agripole group, to the company Arterris.  </w:t>
        <w:br/>
        <w:t xml:space="preserve">13. As it results in the exclusive control of part of the ambient prepared meals division of the Agripole group by Cofigeo, the notified operation constitutes a concentration operation, within the meaning of Article L. 430-1 of the Commercial Code.  </w:t>
        <w:br/>
        <w:t xml:space="preserve">14. The companies concerned together achieve a total worldwide turnover of more than 150 million euros (Cofigeo: [&gt; 150 million] euros for the fiscal year ending December 31, 2016; the target companies: [&gt; 150 million] euros for the same fiscal year). Each of these companies has achieved, in France, a turnover exceeding 50 million euros (Cofigeo: [&gt; 150 million] euros for the fiscal year ending December 31, 2016; the target companies: [&gt; 150 million] euros for the same fiscal year).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15. The parties are simultaneously active in the market for the manufacture and marketing of PCA aimed at GMS (under MDF and under MDD) and RHF (A.). The parties also market pâtés (B.).  </w:t>
        <w:br/>
        <w:t xml:space="preserve">16. Cofigeo is active in the related markets of the manufacture and marketing of pasta sauces (C.) and canned vegetables (D.).  </w:t>
        <w:br/>
        <w:t xml:space="preserve">A. MARKETS FOR THE MANUFACTURE AND MARKETING OF CANNED PREPARED MEALS  </w:t>
        <w:br/>
        <w:t xml:space="preserve">17. The decision-making practice of the Competition Authority distinguishes the market for the manufacture and marketing of PCA from those for the manufacture and marketing of fresh and frozen prepared meals, due to differences in production technologies (absence of substitutability on the supply side) and in the uses of these products by the final consumer (absence of substitutability on the demand side).  </w:t>
        <w:br/>
        <w:t xml:space="preserve">18. The notifying party also indicated, during the session of May 14, 2018, that the products it markets (notably in the PCI market, see below) would compete notably with dry pasta that can be cooked with sauces (marketed separately). To this end, it notably relied on a comparison of the prices of PCA and dry pasta expressed in euros per 100 kilocalories.  </w:t>
        <w:br/>
        <w:t xml:space="preserve">19. It does not emerge from the market tests conducted during the investigation that products such as dry pasta or fresh ravioli are considered substitutes for the products marketed by the notifying party and the target. Furthermore, these products are sold in distinct aisles by retailers and do not correspond to the same usage purposes. Several retailers consider that due to their specific use, PCA constitutes essential products, as for example Auchan which stated: "These products are also essential. They meet a consumption habit ingrained in the French. This meal solution is important for families. It allows for quick meals (products 'in the cupboard' with long shelf life kept at room temperature)."  </w:t>
        <w:br/>
        <w:t xml:space="preserve">20. Regarding dry pasta specifically, the Competition Authority considers that there are significant differences in production processes (the canning process is specific to PCA) and uses (complete meals for PCA or "to assemble" for dry pasta with sauce, preparation time, presence of meat in the recipe, if applicable) establishing an absence of substitutability of supply or demand between these two types of products. Moreover, the alleged assimilation between the two categories of products has been notably contradicted by the representative of Panzani who stated that dry pasta and PCA "do not belong to the same universe and do not respond to the same logic." Finally, the Authority notes that the reasoning in euros per 100 kilocalories is not, by the notifying party's own admission, a usual reasoning mode for food products aimed at end customers in the GMS channel. It does not appear, therefore, as a determining factor in consumer choice.  </w:t>
        <w:br/>
        <w:t>21. This distinction has been confirmed by the market tests conducted during the investigation.</w:t>
      </w:r>
    </w:p>
    <w:p>
      <w:r>
        <w:rPr>
          <w:b/>
        </w:rPr>
        <w:t>[Pages 10–12]</w:t>
      </w:r>
    </w:p>
    <w:p>
      <w:r>
        <w:t>22. According to the consistent decision-making practice of the Competition Authority, the market for the manufacture and marketing of PCA is segmented according to the marketing channel (1.). The channel of marketing to GMS, corresponding to at-home consumption, can itself be further segmented according to the geographical origin of the recipes (French, Italian, and exotic) and the commercial positioning of the products (MDF and MDD) (2.). Finally, the investigation highlighted the existence of a specific market for ready meals packaged in microwaveable trays marketed to GMS, distinct from the market for PCA packaged in metal cans and glass jars (3.). These different markets are of national dimension (4.).</w:t>
      </w:r>
    </w:p>
    <w:p>
      <w:r>
        <w:t>1. Segmentation of the market for the manufacture and marketing of PCA according to the marketing channel</w:t>
        <w:br/>
        <w:t>23. The decision-making practice of national competition authorities distinguishes the distribution channels aimed at at-home consumption (GMS), out-of-home catering (RHF), which encompasses both collective catering (school canteens, hospitals, nursing homes, etc.) and commercial catering (cafeterias, restaurants), and the agri-food industry (IAA). In this case, the parties market their products through the GMS and RHF channels.</w:t>
      </w:r>
    </w:p>
    <w:p>
      <w:r>
        <w:t>24. Regarding the GMS channel, the Competition Authority considers that it also includes the distribution of products in "hard discount" (HD). Furthermore, the GMS channel is understood as encompassing all volumes sold to large retail groups, regardless of the distribution method they subsequently use for marketing to the end customer (notably, sales in hypermarkets or supermarkets, through their online sales platforms, or their convenience stores).</w:t>
      </w:r>
    </w:p>
    <w:p>
      <w:r>
        <w:t>25. Regarding the RHF channel, the Competition Authority has considered a segmentation of the market for the production of food products by type of customers (large account customers and smaller customers).</w:t>
      </w:r>
    </w:p>
    <w:p>
      <w:r>
        <w:t>26. In this case, the competitive analysis will be conducted by distinguishing these two distribution channels (GMS and RHF), in accordance with the decision-making practice that the elements of the file have not called into question and that the notifying party does not contest.</w:t>
      </w:r>
    </w:p>
    <w:p>
      <w:r>
        <w:t>2. Segmentation of the market for the manufacture and marketing of PCA packaged in cans and jars to GMS</w:t>
        <w:br/>
        <w:t>27. The Competition Authority considers that the market for the manufacture and marketing of PCA intended for GMS is segmented according to the geographical origin of the recipes (a.). An additional segmentation according to the commercial positioning of the products has also been considered (b.).</w:t>
      </w:r>
    </w:p>
    <w:p>
      <w:r>
        <w:t>a. Segmentation according to the geographical origin of the recipes</w:t>
        <w:br/>
        <w:t>28. National competition authorities have considered a segmentation of the PCA market into three distinct markets, based on the geographical origin of the recipes (i). This segmentation is relevant in this case (ii).</w:t>
      </w:r>
    </w:p>
    <w:p>
      <w:r>
        <w:t>(i) Reminder of the decision-making practice of competition authorities</w:t>
        <w:br/>
        <w:t>29. In the PCA market, the decision-making practice of national competition authorities distinguishes three families of recipes, based on their geographical origin: French ready meals (hereinafter, "PCF"), Italian ready meals (hereinafter, "PCI"), and exotic ready meals (hereinafter, "PCE").</w:t>
      </w:r>
    </w:p>
    <w:p>
      <w:r>
        <w:t>30. The letter from the minister dated January 10, 2003, states: "These three categories of products correspond, on the one hand, to the practices of producers, who are not necessarily active across all segments of canned food, and who never position a significant brand across multiple segments of canned food, and, on the other hand, to those of distributors, in the organization of their shelves. It is also noted that average prices vary significantly from one segment to another. There are therefore significant indicators to consider that these three families of recipes constitute distinct markets."</w:t>
      </w:r>
    </w:p>
    <w:p>
      <w:r>
        <w:t>31. In its decision No. 13-DCC-182 of December 13, 2013, the Competition Authority conducted its analysis by retaining, in the PCA market, the three segments considered in the minister's decision: PCF, PCI, and PCE.</w:t>
      </w:r>
    </w:p>
    <w:p>
      <w:r>
        <w:t>32. Thus, the decision-making practice retains a segmentation of the PCA market by family of recipes based on its geographical origin.</w:t>
      </w:r>
    </w:p>
    <w:p>
      <w:r>
        <w:t>(ii) Assessment in this case</w:t>
        <w:br/>
        <w:t>33. The investigation confirmed the relevance of a segmentation by geographical origin of recipes, which was corroborated by almost all market operators, customers, and competitors of the parties interviewed.</w:t>
      </w:r>
    </w:p>
    <w:p>
      <w:r>
        <w:t>- Analysis of substitutability from the supply side</w:t>
        <w:br/>
        <w:t>34. Regarding the substitutability of PCI with respect to PCF and PCE, the Competition Authority notes that the production of ravioli requires specific production tools that allow for the production of stuffed pasta (ravioli machines), which represent a significant ad hoc investment. It emerges from the information provided by the notifying party regarding the cost of the equipment necessary for the production of the different families of PCA recipes that the acquisition of ravioli machines is the most expensive investment for manufacturing this type of dish (in €/ton). Furthermore, the two other tools with similar costs (integration of charcuterie and associative dosing – a device that allows for the dosing and weighing of ingredients for a given recipe) are less specific than ravioli machines.</w:t>
      </w:r>
    </w:p>
    <w:p>
      <w:r>
        <w:t>35. The substitutability of supply between the production of PCF and PCE on the one hand and that of PCI on the other hand therefore appears to be limited.</w:t>
      </w:r>
    </w:p>
    <w:p>
      <w:r>
        <w:t>36. Moreover, the actual organization of the production tools of PCA operators remains marked by specialization by geographical origin of recipes. Regarding the parties, on […] production lines, spread across 4 industrial sites, only […] lines are mixed (i.e., they actually produce dishes from several families of recipes). The competitors of the parties also generally have production tools specialized by geographical origin of recipes.</w:t>
      </w:r>
    </w:p>
    <w:p>
      <w:r>
        <w:t>37. The observation that "[producers] are not necessarily active across all segments of canned food, and [...] never position a significant brand across multiple segments of canned food," already noted by the minister in his 2003 decision, remains relevant, as demonstrated below.</w:t>
      </w:r>
    </w:p>
    <w:p>
      <w:r>
        <w:t>38. Several operators, who produce notably PCF, are only active in this single segment and emphasize, in their communication, the image of "terroir" brands specific to the PCF segment, which is not transferable to other segments of the market. This is the case, for example, of the company Charles Christ, which stated: "We quickly expanded our expertise in French ready meals [...]. You will find in a jar the gourmet pleasure inspired by the terroir." The company Maison Rivière specifies: "Maison Rivière today offers a complete range of authentic terroir cuisines. Févoulet, petit salé, confits, and gizzards are meticulously crafted in our workshops to continue to delight the taste buds of lovers of Southwest gastronomy and well beyond."</w:t>
      </w:r>
    </w:p>
    <w:p>
      <w:r>
        <w:t>39. Furthermore, operators who operate across multiple segments of the market have brands specialized by geographical origin of recipes. Thus, the target, a market leader in the three segments, was formed in a conglomerate logic through successive acquisitions, while retaining specialized brands (William Saurin for PCF, Panzani under license for PCI, and Garbit for PCE). This strategy reflects the importance attached by operators to associating a brand, generally powerful, with a single segment. It can be noted that the target, although the Agripole group has significant production capacities in PCI, chose to exploit a brand dedicated to PCI under license (Panzani), rather than bear the costs of launching a new ad hoc brand owned or marketing PCI under its own brands (William Saurin or Garbit).</w:t>
      </w:r>
    </w:p>
    <w:p>
      <w:r>
        <w:t>40. Regarding other players in these markets, only two operators use identical brands for different segments: Cofigeo (Zapetti in PCI and PCE) and Covi (Paul et Louise in PCF and PCE).</w:t>
      </w:r>
    </w:p>
    <w:p>
      <w:r>
        <w:t>41. However, representatives of Cofigeo stated during the investigation: [Confidential] The Zapetti brand is therefore primarily considered a PCI brand, even though it is also used in the PCE segment. Furthermore, the presence of the Paul et Louise brand in the PCE segment is very limited. Covi remains predominantly a MDD operator in this segment, while it is a MDF operator in the PCF segment. These two particular cases are therefore of limited importance.</w:t>
      </w:r>
    </w:p>
    <w:p>
      <w:r>
        <w:t>42. Thus, brands and brand image constitute specific investments for each geographical origin of recipes, the benefits of which cannot be easily transferred to markets corresponding to recipes of another origin.</w:t>
      </w:r>
    </w:p>
    <w:p>
      <w:r>
        <w:t>43. Consequently, the analysis from the supply side confirms the relevance of the segmentation by family of recipes.</w:t>
      </w:r>
    </w:p>
    <w:p>
      <w:r>
        <w:t>- Analysis of substitutability from the demand side</w:t>
      </w:r>
    </w:p>
    <w:p>
      <w:r>
        <w:rPr>
          <w:b/>
        </w:rPr>
        <w:t>[Pages 13–15]</w:t>
      </w:r>
    </w:p>
    <w:p>
      <w:r>
        <w:t>44. The analysis of the substitutability of PCA from the demand side corroborates this finding. The segmentation by geographical origins of recipes is particularly reflected in the organization of the shelves in GMS, which clearly and systematically distinguish between the PCF, PCI, and PCE sections.</w:t>
      </w:r>
    </w:p>
    <w:p>
      <w:r>
        <w:t>45. Furthermore, the analysis of the distributors' shifts in case of price increases or unavailability of the parties' products confirms the very low substitutability from the demand side. Indeed, of the 11 distributors interviewed during the investigation, only 2 mentioned possibilities of (partial) shifts between geographical origins of recipes in the event of a price increase for either brand of the parties.</w:t>
      </w:r>
    </w:p>
    <w:p>
      <w:r>
        <w:t>46. Consequently, there is limited substitutability from the demand side between the different geographical origins of PCA recipes.</w:t>
      </w:r>
    </w:p>
    <w:p>
      <w:r>
        <w:t>(iii) Conclusion on the segmentation of the PCA market according to the geographical origin of recipes</w:t>
      </w:r>
    </w:p>
    <w:p>
      <w:r>
        <w:t>47. In light of the above, a segmentation of the market for the manufacture of PCA packaged in cans and jars sold in GMS based on the geographical origin of the recipes (PCF, PCI, and PCE) is relevant.</w:t>
      </w:r>
    </w:p>
    <w:p>
      <w:r>
        <w:t>b. Sub-segmentation according to the commercial positioning of products</w:t>
      </w:r>
    </w:p>
    <w:p>
      <w:r>
        <w:t>48. The decision-making practice of competition authorities has considered an additional segmentation of the markets for the manufacture and marketing of PCA based on their commercial positioning (MDF or MDD). The notifying party proposed to retain markets grouping MDF and MDD. In this case, the question can be left open as it has no impact on the results of the competitive analysis.</w:t>
      </w:r>
    </w:p>
    <w:p>
      <w:r>
        <w:t>(i) Reminder of the decision-making practice of competition authorities</w:t>
      </w:r>
    </w:p>
    <w:p>
      <w:r>
        <w:t>49. In the letter from the minister dated January 10, 2003, the question of a segmentation of the markets for the manufacture and marketing of PCA in GMS based on the commercial positioning of products was dismissed.</w:t>
      </w:r>
    </w:p>
    <w:p>
      <w:r>
        <w:t>50. This letter specifies: "Community [...] and national [...] practice regarding the control of concentrations sometimes considers a segmentation of markets by distinguishing between MDF and MDD products. In this case, such segmentation does not appear justified, as it seems that these two categories of products are in direct competition in this sector related to everyday consumer products. Indeed, although price differences may be observed, it appears that in the eyes of the consumer, MDD and MDF are, for this type of product, largely substitutable. It can also be noted that, even if these products often belong to different ranges (rather 'high-end' for MDF, rather mid-range or entry-level for MDD), canned goods are generally of relatively comparable quality and are sometimes produced via the same production lines. Finally, it is noted that the main manufacturers of canned prepared meals, holders of recognized brands, are also the main suppliers of MDD canned prepared meals. [...] Consequently, it does not appear necessary, at this stage, to distinguish between MDD and MDF."</w:t>
      </w:r>
    </w:p>
    <w:p>
      <w:r>
        <w:t>20 In the course of the investigation, the notifying party also considered alternative segmentations (by range in the PCF segment; by recipes in the PCE segment). However, the elements collected during the investigation did not confirm the relevance of such segmentations.</w:t>
      </w:r>
    </w:p>
    <w:p>
      <w:r>
        <w:t>51. The minister therefore conducted an analysis of the effects of the operation on the different segments of the PCA market, without distinguishing between MDF and MDD.</w:t>
      </w:r>
    </w:p>
    <w:p>
      <w:r>
        <w:t>52. However, in a subsequent decision regarding the market for the manufacture and marketing of PCA, the Competition Authority considered the existence of a segmentation of this market based on the commercial positioning of the products, while leaving the question open. It thus conducted an analysis of the effects of the operation by distinguishing between MDF and MDD.</w:t>
      </w:r>
    </w:p>
    <w:p>
      <w:r>
        <w:t>53. Previous decision-making practice has therefore not resolved the question of the segmentation of the PCA market based on the commercial positioning of the products.</w:t>
      </w:r>
    </w:p>
    <w:p>
      <w:r>
        <w:t>(ii) Position of the notifying party</w:t>
      </w:r>
    </w:p>
    <w:p>
      <w:r>
        <w:t>54. The notifying party considers that the PCA market should not be segmented based on the commercial positioning of the products.</w:t>
      </w:r>
    </w:p>
    <w:p>
      <w:r>
        <w:t>55. It notably indicates that the manufacturers supplying GMS with both MDF and MDD are the same, that the supply of MDF and MDD products is equivalent, and that MDF and MDD products are substantially identical in terms of taste, packaging, or quality.</w:t>
      </w:r>
    </w:p>
    <w:p>
      <w:r>
        <w:t>56. Furthermore, the notifying party argues that the price differences between MDF and MDD are generally small and that the shifts between these two categories of products are significant, as evidenced by an economic study it submitted.</w:t>
      </w:r>
    </w:p>
    <w:p>
      <w:r>
        <w:t>57. Finally, the notifying party considers that there are no essential brands in the PCA market, particularly based on the significant penetration rate of MDD.</w:t>
      </w:r>
    </w:p>
    <w:p>
      <w:r>
        <w:t>(iii) Assessment in the specific case</w:t>
      </w:r>
    </w:p>
    <w:p>
      <w:r>
        <w:t>On the substitutability of supply between products sold under MDF and under MDD</w:t>
      </w:r>
    </w:p>
    <w:p>
      <w:r>
        <w:t>58. The market test confirmed that the majority of operators active in the different segments of the PCA market market their products both under MDF and under MDD.</w:t>
      </w:r>
    </w:p>
    <w:p>
      <w:r>
        <w:t>59. Furthermore, no operator reported specific production processes unique to MDF or MDD. The main difference between these two products, from the perspective of the production process, lies in the ingredients used and the composition of the recipes.</w:t>
      </w:r>
    </w:p>
    <w:p>
      <w:r>
        <w:t>60. These elements therefore support an analysis grouping MDF and MDD products together.</w:t>
      </w:r>
    </w:p>
    <w:p>
      <w:r>
        <w:t>61. However, despite common production processes for MDF and MDD, the marketing of PCA presents specificities that create significant differentiation, from the suppliers' perspective, between these two commercial positions, regardless of the geographical origin of the recipes.</w:t>
      </w:r>
    </w:p>
    <w:p>
      <w:r>
        <w:t>62. Indeed, the costs associated with launching a brand appear significant in this sector, making the manufacturing and marketing of PCA under MDF and under MDD less substitutable. Thus, the notifying party indicated that the launch in 2005 of the Zapetti brand, replacing the Buitoni and Maggi flavors of the world brands (under which it temporarily marketed its PCI and PCE following the acquisition of the Camaret site from Nestlé France), required "relatively significant advertising budgets for the development of this brand during the first three years ([…] in 2005, […] from 2005 to 2007), particularly in TV spots. [...] Three years after its creation, advertising investments returned to levels more consistent with the average of food brands, around [Confidential]."</w:t>
      </w:r>
    </w:p>
    <w:p>
      <w:r>
        <w:t>63. Moreover, the table below presents the amount of advertising and sponsorship expenses of the parties between 2014 and 2017, across all brands:</w:t>
      </w:r>
    </w:p>
    <w:p>
      <w:r>
        <w:t>Cofigeo Expenses Target Expenses</w:t>
        <w:br/>
        <w:t>In million euros</w:t>
        <w:br/>
        <w:t>2014 2015 2016 2017 2014 2015 2016 2017</w:t>
        <w:br/>
        <w:t>Total […] […] […] […] […] […] […] […]</w:t>
      </w:r>
    </w:p>
    <w:p>
      <w:r>
        <w:t>Source: data from the notifying party.</w:t>
      </w:r>
    </w:p>
    <w:p>
      <w:r>
        <w:t>64. Thus, the expenses of Cofigeo and the target aimed at supporting their brands exceed […] million euros per year, [Confidential].</w:t>
      </w:r>
    </w:p>
    <w:p>
      <w:r>
        <w:t>65. When questioned about this data, representatives of Cofigeo stated: "[Confidential]. [...] We aim to increase our spending in the future. This is a goal for us and it is imperative. We have resumed communicating about our brands since the beginning of the year."</w:t>
      </w:r>
    </w:p>
    <w:p>
      <w:r>
        <w:t>66. This statement highlights the importance of supporting investments for the MDF marketed by the parties, which do not exist for MDD. The importance of brands is also confirmed by this other statement from representatives of Cofigeo: "our business is our brands and our ability to produce 'good cheap'. If we forget this, we will kill what remains of our activity."</w:t>
      </w:r>
    </w:p>
    <w:p>
      <w:r>
        <w:t>67. The difference, from the supplier's perspective, between the marketing of PCA under MDF and under MDD is also reflected in the variable cost margin per kilogram generated by either of these product categories. The table below illustrates this difference, for the parties, for all PCA, between 2014 and 2016.</w:t>
      </w:r>
    </w:p>
    <w:p>
      <w:r>
        <w:t>MDD MDF</w:t>
        <w:br/>
        <w:t>€/kg</w:t>
        <w:br/>
        <w:t>2014 2015 2016 2014 2015 2016</w:t>
        <w:br/>
        <w:t>Cofigeo […] […] […] […] […] […]</w:t>
        <w:br/>
        <w:t>Target […] […] […] […] […] […]</w:t>
      </w:r>
    </w:p>
    <w:p>
      <w:r>
        <w:t>Source: data from the notifying party.</w:t>
      </w:r>
    </w:p>
    <w:p>
      <w:r>
        <w:t>68. These margin differences between MDF and MDD are partly explained by the significant notoriety of certain brands in the sector, particularly those held by the parties.</w:t>
      </w:r>
    </w:p>
    <w:p>
      <w:r>
        <w:rPr>
          <w:b/>
        </w:rPr>
        <w:t>[Pages 16–18]</w:t>
      </w:r>
    </w:p>
    <w:p>
      <w:r>
        <w:t>69. Consequently, the substitutability of the offer between PCA marketed under MDF and under MDD is limited, notably due to the significant expenses required to support MDF, which make the transition from manufacturing MDD to MDF both complex and costly.</w:t>
      </w:r>
    </w:p>
    <w:p>
      <w:r>
        <w:t>On the substitutability of demand between products sold under MDF and under MDD</w:t>
      </w:r>
    </w:p>
    <w:p>
      <w:r>
        <w:t>70. Contrary to what the notifying party claims, there are relatively significant price differences for consumers between PCA sold under MDF and those sold under MDD. The price differences between MDD and MDF products, between 2014 and 2016, are indeed around 60% for PCI and PCE, and 70% for PCF for shelf-stable products. They are around 40% for promotional products for PCE and PCI and 50% for PCF.</w:t>
      </w:r>
    </w:p>
    <w:p>
      <w:r>
        <w:t>71. Furthermore, the information obtained from distributors during the market tests indicates relatively low or even, for some clients, nonexistent shifts towards MDD in the event of a 10% price increase or unavailability of MDF products from a given product family of either party. As for the hypothesis of a 10% price increase for MDD, the results indicate virtually nonexistent shifts towards MDF.</w:t>
      </w:r>
    </w:p>
    <w:p>
      <w:r>
        <w:t>72. In addition to the reservations expressed by the notifying party regarding the reliability and representativeness of the distributors' responses, which will be addressed in paragraphs 159 and following of this decision, the latter, relying on its economic study modeling the PCA market and simulating the operation, argues that the shifts from the parties' MDF to MDD could be significant. However, the simulation presented by the notifying party is subject to several methodological limitations that invite caution in interpreting its results, particularly concerning one of the two models considered in the simulation. Regarding the results of the model deemed most realistic by the Competition Authority, the diversion ratios of MDF marketed by the parties to MDD are calculated with significant uncertainty, which the notifying party has acknowledged. They could indeed vary between approximately 10%, which would be consistent with limited competitive pressure from MDD, and 40%, which would imply significant competitive constraints from MDD on MDF. Given this significant range of possible values for the diversion ratios resulting from the simulation, it is not possible to conclude on the intensity of the competitive pressure exerted by MDD products on MDF products based on the economic study submitted by the notifying party.</w:t>
      </w:r>
    </w:p>
    <w:p>
      <w:r>
        <w:t>Conclusion on segmentation based on the commercial positioning of the product</w:t>
      </w:r>
    </w:p>
    <w:p>
      <w:r>
        <w:t>73. Given the low substitutability between MDF and MDD in the PCA markets, a segmentation of each of these markets according to the commercial positioning of the products cannot be ruled out.</w:t>
      </w:r>
    </w:p>
    <w:p>
      <w:r>
        <w:t>74. However, the question of this segmentation can be left open, as the conclusions of the competitive analysis remain unchanged, regardless of the hypothesis adopted. The effects of the operation will therefore be analyzed on each PCA market (namely PCF, PCI, and PCE) grouping MDF and MDD on the one hand, and on two distinct segments (MDF, MDD) for each of them, on the other hand, totaling 9 segments.</w:t>
      </w:r>
    </w:p>
    <w:p>
      <w:r>
        <w:t>3. Market for the manufacture and marketing of PCA packaged in microwaveable trays</w:t>
      </w:r>
    </w:p>
    <w:p>
      <w:r>
        <w:t>75. The notifying party proposes to define a specific market for PCA packaged in plastic microwaveable trays (hereinafter "MO"), distinct from that of PCA packaged in metal cans and glass jars. It does not propose, in this market, to operate a segmentation by source of revenue.</w:t>
      </w:r>
    </w:p>
    <w:p>
      <w:r>
        <w:t>76. The notifying party puts forward the following arguments: "Firstly, the packaging does not concern the same uses: the can requires a third-party container while the tray can be heated and the dish consumed directly from the container. The microwaveable tray, in individual format, is therefore favored by an active population during lunchtime, potentially away from home, for quick yet balanced meals. Moreover, new packaging such as the 'Doypack', a microwaveable plastic pouch, fits into this usage of on-the-go and individual consumption, with a more modern dimension than the microwaveable tray. Conversely, prepared dishes in cans, which have a larger format, are consumed more in the evening for home meals, whether individual or family-sized. Secondly, the relevance of the distinction is justified by the differences in price per kg: [Confidential]."</w:t>
      </w:r>
    </w:p>
    <w:p>
      <w:r>
        <w:t>77. Several distributors and operators in the PCA market have also proposed to adopt a segmentation by type of container distinguishing MO and PCA in cans.</w:t>
      </w:r>
    </w:p>
    <w:p>
      <w:r>
        <w:t>78. For their part, MO producers have indicated that these products are not manufactured on the same production lines as PCA in cans.</w:t>
      </w:r>
    </w:p>
    <w:p>
      <w:r>
        <w:t>79. The effects of the operation will therefore be analyzed on a market for PCA packaged in MO distinct from that of PCA packaged in cans and jars.</w:t>
      </w:r>
    </w:p>
    <w:p>
      <w:r>
        <w:t>80. Since MO is also marketed under MDF and under MDD, a segmentation based on the commercial positioning of the product could be considered, similar to the analysis conducted on the market for PCA in cans and jars.</w:t>
      </w:r>
    </w:p>
    <w:p>
      <w:r>
        <w:t>81. However, the question of the exact segmentation of the market for the manufacture of PCA packaged in MO marketed in GMS can be left open, as the conclusions of the competitive analysis remain unchanged regardless of the hypothesis adopted. The effects of the operation will therefore be successively analyzed on a market grouping MDF and MDD, on the one hand, and then on potential distinct segments (MDF on one hand, MDD on the other).</w:t>
      </w:r>
    </w:p>
    <w:p>
      <w:r>
        <w:t>4. Geographic markets</w:t>
      </w:r>
    </w:p>
    <w:p>
      <w:r>
        <w:t>82. The consistent decision-making practice of national competition authorities considers that the PCA markets are of national dimension, given the differences in tastes and dietary habits specific to each country. This delimitation, which is not contested by the notifying party, has also been confirmed by market tests. The effects of the operation will therefore be analyzed on a market of national dimension.</w:t>
      </w:r>
    </w:p>
    <w:p>
      <w:r>
        <w:t>5. General conclusion on the definition of the PCA market</w:t>
      </w:r>
    </w:p>
    <w:p>
      <w:r>
        <w:t>83. Given all the preceding elements, the competitive analysis will be conducted on the following national markets:</w:t>
        <w:br/>
        <w:t>- manufacture and marketing of PCA packaged in cans and jars in GMS, segmented between PCF, PCI, and PCE, possibly further segmented between MDD and MDF;</w:t>
        <w:br/>
        <w:t>- manufacture and marketing of PCA packaged in cans and jars to RHF, possibly segmented between large account operators and smaller clients;</w:t>
        <w:br/>
        <w:t>- manufacture and marketing of PCA packaged in MO in GMS, possibly segmented between MDD and MDF.</w:t>
      </w:r>
    </w:p>
    <w:p>
      <w:r>
        <w:t>84. The parties are active in all of these markets. The competitive analysis will primarily focus on the horizontal effects generated by the operation on these different markets as well as on the conglomerate effects between these different markets.</w:t>
      </w:r>
    </w:p>
    <w:p>
      <w:r>
        <w:t>B. MARKETS FOR THE MANUFACTURE AND MARKETING OF PÂTÉS</w:t>
      </w:r>
    </w:p>
    <w:p>
      <w:r>
        <w:t>85. Pâtés are processed meat products that can be segmented according to several criteria: the family to which the product belongs, the distribution channel, the mode of distribution (self-service or cut-to-order), and the commercial positioning of the products (MDF or MDD).</w:t>
      </w:r>
    </w:p>
    <w:p>
      <w:r>
        <w:t>86. Regarding segmentation by product family, Insee, the Ministry of Agriculture, and the French Federation of Charcuterie, Caterers, and Meat Processors (FICT) use a nomenclature that distinguishes 23 product families grouped according to their mode of preparation (raw or cooked), the technology used (salting, drying, smoking, cooking, canning, freezing), and the type of meat used (pork, poultry, beef, game, etc.).</w:t>
      </w:r>
    </w:p>
    <w:p>
      <w:r>
        <w:t>87. The Competition Authority has considered that each of these product families is likely to constitute a distinct market, while not excluding the existence of markets grouping several product families.</w:t>
      </w:r>
    </w:p>
    <w:p>
      <w:r>
        <w:t>88. In particular, the market for the manufacture and marketing of pâtés and various meat preparations can be further segmented according to the type of meat used. The Competition Authority has thus distinguished between pork-based pâtés and various preparations and liver-based pâtés and various preparations, while leaving the question of a broader market definition open.</w:t>
      </w:r>
    </w:p>
    <w:p>
      <w:r>
        <w:t>89. The markets for the manufacture and marketing of pâtés are also of national dimension.</w:t>
      </w:r>
    </w:p>
    <w:p>
      <w:r>
        <w:rPr>
          <w:b/>
        </w:rPr>
        <w:t>[Pages 19–21]</w:t>
      </w:r>
    </w:p>
    <w:p>
      <w:r>
        <w:t>90. In this case, the parties are simultaneously active in the segment of pâtés and various preparations based on pork. The position of the new entity following the operation in this market will therefore be analyzed in terms of its horizontal effects and its conglomerate effects.</w:t>
      </w:r>
    </w:p>
    <w:p>
      <w:r>
        <w:t>91. Cofigeo also manufactures and markets beef pâtés. This market will therefore be analyzed in terms of the conglomerate effects of the operation.</w:t>
      </w:r>
    </w:p>
    <w:p>
      <w:r>
        <w:t>C. MARKETS FOR THE MANUFACTURE AND MARKETING OF HOT SAUCES</w:t>
      </w:r>
    </w:p>
    <w:p>
      <w:r>
        <w:t>92. The decision-making practice of the national competition authorities segments the market for the manufacture and marketing of sauces between hot sauces and cold sauces.</w:t>
      </w:r>
    </w:p>
    <w:p>
      <w:r>
        <w:t>93. Hot sauces include pasta sauces (notably bolognese sauce and pesto) and sauces for meat and fish used as toppings for a dish.</w:t>
      </w:r>
    </w:p>
    <w:p>
      <w:r>
        <w:t>94. Cold sauces are segmented into (i) tomato ketchup, (ii) non-emulsified red sauces, (iii) mayonnaise, (iv) emulsified sauces, (v) salad dressings, and (vi) mustard.</w:t>
      </w:r>
    </w:p>
    <w:p>
      <w:r>
        <w:t>95. The decision-making practice of the national competition authorities also considers that segmentation based on the distribution channel is relevant due to differences in prices, packaging formats, marketing methods, and market players (suppliers and customers) concerning sauces intended for GMS, RHF, and IAA.</w:t>
      </w:r>
    </w:p>
    <w:p>
      <w:r>
        <w:t>96. These markets are of national dimension.</w:t>
      </w:r>
    </w:p>
    <w:p>
      <w:r>
        <w:t>97. Only Cofigeo is active in the market for the marketing of hot sauces. This market will therefore be analyzed in terms of the conglomerate effects of the operation.</w:t>
      </w:r>
    </w:p>
    <w:p>
      <w:r>
        <w:t>D. MARKETS FOR THE MANUFACTURE AND MARKETING OF CANNED VEGETABLES</w:t>
      </w:r>
    </w:p>
    <w:p>
      <w:r>
        <w:t>98. The decision-making practice of the Competition Authority segments according to the technology used for processing fruits and vegetables. It distinguishes the markets for fruits and vegetables (i) fresh, (ii) canned, (iii) frozen, (iv) fresh, raw, washed, and peeled, and (v) sterilized and vacuum-pasteurized. This segmentation is based on the existence of differences in prices, preservation methods, and usage between these different types of products. In its decision n° 10-DCC-21 of March 15, 2010, regarding the exclusive control of Champiloire SA by Bonduelle SA, the Competition Authority also considered distinguishing, within vegetables, different markets including that of mushrooms, tomatoes, asparagus, artichokes, and palm hearts, and that of green vegetables.</w:t>
      </w:r>
    </w:p>
    <w:p>
      <w:r>
        <w:t>99. Furthermore, the Competition Authority consistently considers that each distribution channel (GMS, RHF, and IAA) constitutes a distinct market, notably due to the existence of varying needs depending on the type of buyer concerned.</w:t>
      </w:r>
    </w:p>
    <w:p>
      <w:r>
        <w:t>100. Regarding canned vegetables, it considers that it is not relevant to segment between products marketed under MDF and under MDD. The existence of a global market results from the absence of significant differences in terms of taste, quality, or packaging between products sold under MDF and those sold under MDD. Moreover, in its aforementioned decision n° 10-DCC-21, the Competition Authority noted that there is no must-have brand in the canned vegetables market and that MDD represents between 70% and 80% of total sales in GMS.</w:t>
      </w:r>
    </w:p>
    <w:p>
      <w:r>
        <w:t>101. These markets are of national dimension.</w:t>
      </w:r>
    </w:p>
    <w:p>
      <w:r>
        <w:t>102. Only Cofigeo is active in the markets for the manufacture and marketing of canned vegetables. This market will therefore be analyzed in terms of the conglomerate effects of the operation.</w:t>
      </w:r>
    </w:p>
    <w:p>
      <w:r>
        <w:t>III. Competitive Analysis</w:t>
      </w:r>
    </w:p>
    <w:p>
      <w:r>
        <w:t>103. The horizontal effects of the operation will be successively analyzed on the markets for PCA packaged in cans and jars (A) as well as on the market for PCA packaged in microwaveable trays and the related markets in which the parties are active (B). The conglomerate effects of the operation will be analyzed in a third stage (C). The overall anti-competitive effects generated by the operation will be summarized at the end of this competitive analysis (D).</w:t>
      </w:r>
    </w:p>
    <w:p>
      <w:r>
        <w:t>A. HORIZONTAL EFFECTS ON THE MARKETS FOR PCA PACKAGED IN CANS AND JARS</w:t>
      </w:r>
    </w:p>
    <w:p>
      <w:r>
        <w:t>104. In accordance with the guidelines of the Competition Authority regarding the control of concentrations (hereinafter, "the guidelines"), the analysis of the horizontal effects of the operation on the markets for the manufacture and marketing of PCA packaged in cans and jars will rely on the position of the new entity and its competitors following the operation (1.) and, in particular, on the risks of price increases estimated from several quantitative studies (2.). The characteristics of these markets that are likely to discipline the competitive behavior of the new entity will then be analyzed (3).</w:t>
      </w:r>
    </w:p>
    <w:p>
      <w:r>
        <w:t>105. As a preliminary point, it should be recalled that the effects of the operation must be assessed in reference to a realistic counterfactual scenario. As specified in the aforementioned guidelines, "The Authority must characterize the competitive risks of an operation based on a prospective analysis taking into account all relevant data and based on a plausible economic scenario. Indeed, only the situation prior to the operation is observable, and the probable effects of the operation must be presumed. This analysis relies on the characteristics of the market and the functioning of competition on it, as they exist at the time of the control but also taking into account foreseeable developments."</w:t>
      </w:r>
    </w:p>
    <w:p>
      <w:r>
        <w:t>106. The notifying party considers that, given the proven failure of the target, the counterfactual scenario for estimating the positions of the new entity cannot be the situation before the operation. The scenario favored by the notifying party would be that of the exit of the production assets and brands of the target from the PCA markets.</w:t>
      </w:r>
    </w:p>
    <w:p>
      <w:r>
        <w:t>107. However, this scenario cannot be retained in this case. Indeed, in addition to Cofigeo's offer to take over, and as will be detailed below (paragraphs 375 and following), two other offers to take over all the assets of the target had been considered credible by the conciliator, one from [operator 3], the other from [operator 2]. In the absence of a takeover by Cofigeo, the most probable situation would therefore have been the realization of one of these alternative offers, and not the disappearance of the target.</w:t>
      </w:r>
    </w:p>
    <w:p>
      <w:r>
        <w:t>108. In the case of a takeover by [operator 2], the market structure would have remained identical to the situation before the operation, as this operation would have constituted a simple change of shareholder of the target, without any addition of activities between the parties.</w:t>
      </w:r>
    </w:p>
    <w:p>
      <w:r>
        <w:t>109. In the case of a takeover by [operator 3], the market structure would not have been significantly affected in the markets for PCE and PCI, given the limited presence of these acquirers in these segments.</w:t>
      </w:r>
    </w:p>
    <w:p>
      <w:r>
        <w:rPr>
          <w:b/>
        </w:rPr>
        <w:t>[Pages 22–24]</w:t>
      </w:r>
    </w:p>
    <w:p>
      <w:r>
        <w:t>110. As for the market for PCF, a takeover by [operator 3] would have led to market share additions primarily in MDD, for which there are other alternative suppliers with unused production capacities (see below, paragraph 245).</w:t>
      </w:r>
    </w:p>
    <w:p>
      <w:r>
        <w:t>111. In any case, given the competitive analysis elements that will be presented below, taking into account either of these scenarios to describe the alternative situation to the operation would not change the conclusion of the competitive analysis regarding the effects of the operation.</w:t>
      </w:r>
    </w:p>
    <w:p>
      <w:r>
        <w:t>112. Finally, the notifying party challenged the relevance of the market shares calculated by the Competition Authority, considering that the aggressive commercial policy implemented by the target in recent years necessarily led to an increase in its position in the examined markets. The use of market share data calculated from the sales made by the target before the operation would therefore, according to it, lead to a biased presentation of the respective positions of the operators in the market.</w:t>
      </w:r>
    </w:p>
    <w:p>
      <w:r>
        <w:t>113. However, the Competition Authority notes that the gap between the estimated positions of the new entity and its closest competitor following the operation is such (several dozen points), particularly in the PCE and PCI segments, that any potential overestimation of the current market share of the target, assuming it were proven, would not, in any case, be likely to undermine the conclusions of the analysis presented below.</w:t>
      </w:r>
    </w:p>
    <w:p>
      <w:r>
        <w:t>1. Positions of the new entity and its main competitors</w:t>
        <w:br/>
        <w:t>a. Estimation of market shares</w:t>
      </w:r>
    </w:p>
    <w:p>
      <w:r>
        <w:t>114. The notified operation constitutes the merger of the two main operators active in the manufacturing and marketing of PCA in GMS. To estimate the position of the players in these markets, it is necessary to take into account the entirety of the operators' activities and to consider the sales they make under MDF and under MDD.</w:t>
      </w:r>
    </w:p>
    <w:p>
      <w:r>
        <w:t>115. Following the operation, the new entity will hold a market share of [50-60]% (Cofigeo: [10-20]%; the target: [30-40]%) in the sector of PCA packaged in cans and jars. Its closest competitor, D’Aucy, will hold a market share of [10-20]%, followed by La Belle Chaurienne ([0-5]%) and Covi ([0-5]%). No other operator will hold a market share greater than [0-5]%.</w:t>
      </w:r>
    </w:p>
    <w:p>
      <w:r>
        <w:t>116. These overall market shares in the PCA sector are subdivided as follows across the different markets identified by decision-making practice.</w:t>
      </w:r>
    </w:p>
    <w:p>
      <w:r>
        <w:t>(i) In the market for PCF</w:t>
        <w:br/>
        <w:t>- PCF marketed under MDD and MDF</w:t>
      </w:r>
    </w:p>
    <w:p>
      <w:r>
        <w:t>117. Following the operation, the new entity will produce approximately [40-50]% of the PCF marketed in France (Cofigeo: [10-20]%; the target: [30-40]%). Its two closest competitors will be D’Aucy ([10-20]%), primarily present in MDD, and La Belle Chaurienne ([5-10%]), primarily present in MDF.</w:t>
      </w:r>
    </w:p>
    <w:p>
      <w:r>
        <w:t>- PCF marketed under MDF</w:t>
      </w:r>
    </w:p>
    <w:p>
      <w:r>
        <w:t>118. Following the operation, the new entity will produce approximately [40-50]% of the PCF marketed under MDF in France (Cofigeo: [10-20]%; the target: [30-40]%). Its main competitor will be La Belle Chaurienne ([5-10]%).</w:t>
      </w:r>
    </w:p>
    <w:p>
      <w:r>
        <w:t>119. It should be noted that before the judicial recovery of William Saurin, the former leader in this segment, consisting of the companies William Saurin and La Belle Chaurienne, held a market share of [40-50]%, while the new entity (William Saurin / Cofigeo from which La Belle Chaurienne, taken over by Arterris, has been removed) will hold a market share of [40-50]%, representing an increment related to the operation of only [0-5] points.</w:t>
      </w:r>
    </w:p>
    <w:p>
      <w:r>
        <w:t>- PCF marketed under MDD</w:t>
      </w:r>
    </w:p>
    <w:p>
      <w:r>
        <w:t>120. Following the operation, the new entity will produce approximately [30-40]% of the PCF marketed under MDD in France (Cofigeo: [5-10]%; the target: [20-30]%). It will continue to face competition from D’Aucy, the leader in this segment ([50-60]%).</w:t>
        <w:br/>
        <w:t xml:space="preserve">  </w:t>
        <w:br/>
        <w:t>(ii) In the market for PCI</w:t>
        <w:br/>
        <w:t>- PCI marketed under MDD and MDF</w:t>
      </w:r>
    </w:p>
    <w:p>
      <w:r>
        <w:t>121. Following the operation, the new entity will produce [80-90]% of the PCI marketed in France (Cofigeo: [30-40]%; the target: [40-50]%). All other operators will have a market share of less than [0-5]% in this market. Its closest competitor, D’Aucy, ([0-5]%) is primarily present in MDD.</w:t>
      </w:r>
    </w:p>
    <w:p>
      <w:r>
        <w:t>- PCI marketed under MDF</w:t>
      </w:r>
    </w:p>
    <w:p>
      <w:r>
        <w:t>122. Following the operation, the new entity will produce approximately [80-90]% of the PCI marketed under MDF in France (Cofigeo: [30-40]%; the target: [40-50]%). All other operators will have a market share of less than [0-5]% in this segment.</w:t>
      </w:r>
    </w:p>
    <w:p>
      <w:r>
        <w:t>- PCI marketed under MDD</w:t>
      </w:r>
    </w:p>
    <w:p>
      <w:r>
        <w:t>123. Following the operation, the new entity will produce [80-90]% of the PCI marketed under MDD in France (Cofigeo: [40-50]%; the target: [40-50]%). All other operators will have a market share of less than [10-20]% in this segment. Except for D’Aucy ([5-10]%), no competing operator will have a position greater than [0-5]%.</w:t>
      </w:r>
    </w:p>
    <w:p>
      <w:r>
        <w:t>(iii) In the market for PCE</w:t>
        <w:br/>
        <w:t>- PCE marketed under MDD and MDF</w:t>
      </w:r>
    </w:p>
    <w:p>
      <w:r>
        <w:t>124. Following the operation, the new entity will produce [70-80]% of the PCE marketed in France (Cofigeo: [20-30]%; the target: [40-50]%). All other operators will have a market share of less than [10-20]% in this market. Except for Covi ([10-20]%) and D’Aucy ([5-10%]), primarily present in MDD, no competing operator will have a position greater than [5-10]%.</w:t>
      </w:r>
    </w:p>
    <w:p>
      <w:r>
        <w:t>- PCE marketed under MDF</w:t>
      </w:r>
    </w:p>
    <w:p>
      <w:r>
        <w:t>125. Following the operation, the new entity will produce [80-90]% of the PCE marketed under MDF in France (Cofigeo: [20-30]%; the target: [50-60]%). Except for Covi ([0-5]%), no competing operator will have a market share greater than [0-5]%.</w:t>
      </w:r>
    </w:p>
    <w:p>
      <w:r>
        <w:t>- PCE marketed under MDD</w:t>
      </w:r>
    </w:p>
    <w:p>
      <w:r>
        <w:t>126. Following the operation, the new entity will produce [50-60]% of the PCE marketed under MDD in France (Cofigeo: [20-30]%; the target: [20-30]%). Its main competitors will be Covi ([30-40]%) and D’Aucy ([10-20]%).</w:t>
      </w:r>
    </w:p>
    <w:p>
      <w:r>
        <w:rPr>
          <w:b/>
        </w:rPr>
        <w:t>[Pages 25–27]</w:t>
      </w:r>
    </w:p>
    <w:p>
      <w:r>
        <w:t xml:space="preserve">(iv) Summary of the positions of the new entity  </w:t>
        <w:br/>
        <w:t xml:space="preserve">127. The following table summarizes the positions of the new entity (expressed in market shares by value) and its closest competitor in the various markets and segments analyzed above.  </w:t>
        <w:br/>
        <w:t xml:space="preserve">PCF PCI PCE  </w:t>
        <w:br/>
        <w:t xml:space="preserve">Market Size Market Size Market Size  </w:t>
        <w:br/>
        <w:t xml:space="preserve">Market Shares Market Shares Market Shares  </w:t>
        <w:br/>
        <w:t xml:space="preserve">of the two of the two of the two  </w:t>
        <w:br/>
        <w:t xml:space="preserve">main operators main operators main operators  </w:t>
        <w:br/>
        <w:t xml:space="preserve">(€K) (€K) (€K)  </w:t>
        <w:br/>
        <w:t xml:space="preserve">[70-80] % [40-50] % [80-90] %  </w:t>
        <w:br/>
        <w:t xml:space="preserve">Market (new entity) (new entity) (new entity)  </w:t>
        <w:br/>
        <w:t xml:space="preserve">MDD+M 335 628 133 932 61 416  </w:t>
        <w:br/>
        <w:t xml:space="preserve">DF [10-20] % [0-5] % [10-20] %  </w:t>
        <w:br/>
        <w:t xml:space="preserve">(D’Aucy) (D’Aucy) (Covi)  </w:t>
        <w:br/>
        <w:t xml:space="preserve">[80-90] % [40-50] %  </w:t>
        <w:br/>
        <w:t xml:space="preserve">(new entity) 224 242 [80-90] % 84 702  </w:t>
        <w:br/>
        <w:t xml:space="preserve">Segment MDF [5-10] % (new entity) [5-10] %  </w:t>
        <w:br/>
        <w:t xml:space="preserve">(LBC) (Covi)  </w:t>
        <w:br/>
        <w:t xml:space="preserve">[50-60] % [50-60] % [80-90] %  </w:t>
        <w:br/>
        <w:t xml:space="preserve">(new entity) 111 386 (new entity) 49 230 (new entity) 23 454  </w:t>
        <w:br/>
        <w:t xml:space="preserve">Segment MDD [30-40] % [5-10] % [30-40] %  </w:t>
        <w:br/>
        <w:t xml:space="preserve">(new entity) (D’Aucy) (Covi)  </w:t>
        <w:br/>
        <w:t xml:space="preserve">Source: data from the notifying party.  </w:t>
        <w:br/>
        <w:t xml:space="preserve">Note 1: the new entity will be a leader in all segments considered except for the PCF sold under MDD.  </w:t>
        <w:br/>
        <w:t xml:space="preserve">Note 2: the new entity will face no significant competitors in the PCI segment sold under MDF.  </w:t>
        <w:br/>
        <w:t xml:space="preserve">128. Overall, the new entity will be in a leading position in 8 of the 9 segments of the PCA markets studied.  </w:t>
        <w:br/>
        <w:t xml:space="preserve">129. Regardless of the segmentation retained, the new entity will hold more than [80-90] % market share in PCI and will face no significant competition, its closest competitor in these segments, the D’Aucy group, being present only in MDD.  </w:t>
        <w:br/>
        <w:t xml:space="preserve">130. Regardless of the segmentation retained, the new entity will hold more than [50-60] % market share in PCE. It will have a quasi-monopolistic position in the segment of PCE sold under MDF ([80-90] %), also ensuring it a crucial position in the market combining MDF and MDD ([70-80] %). Its closest competitor (Covi, [10-20] %) is likely to exert competitive pressure on the new entity only in the manufacturing of PCE sold under MDD (where it holds [30-40] %).  </w:t>
        <w:br/>
        <w:t xml:space="preserve">131. Regardless of the segmentation retained, the new entity will hold less than [50-60] % market share in PCF. It will manufacture [40-50] % of PCF, both MDF and MDD combined ([40-50] % for MDF and [30-40] % for MDD). It will indeed hold significant positions in these markets, but it is not a leader in the MDD segment and will still face competition in the MDF segment from operators that, although small, have an established MDF (La Belle Chaurienne) and available production capacities (see below).  </w:t>
        <w:br/>
        <w:t xml:space="preserve">b. Concentration of brands within the new entity  </w:t>
        <w:br/>
        <w:t xml:space="preserve">132. In addition to the significant strengthening of the new entity's position in almost all market segments, the operation leads to the concentration within it of all the well-known brands in the PCA sector.  </w:t>
        <w:br/>
        <w:t xml:space="preserve">133. As a preliminary point, the elements collected during the investigation demonstrate the importance of brands (understood as MDF) in consumer choices for PCA.  </w:t>
        <w:br/>
        <w:t xml:space="preserve">134. In the context of the market test conducted during the first phase of the examination of the operation, 7 of the 9 distributors who responded cited the brand as one of the factors that are important in consumer choices for PCA. According to 5 distributors, the brand is one of the three main criteria considered in consumer choice, and 3 of them believe it is the main criterion for determining consumer choice. When asked whether the parties hold specific advantages in any of the main criteria for determining consumer choice, 4 distributors cited their brands.  </w:t>
        <w:br/>
        <w:t xml:space="preserve">135. The competitors of the parties who responded to the market test also confirm the importance of brands in the PCA sector, with almost all operators who responded on this point mentioning the brand among the three main criteria for consumer choice.  </w:t>
        <w:br/>
        <w:t xml:space="preserve">136. Several operators also indicated that the brand was, for French consumers, a particularly useful reassurance in a context of distrust generated by several recent food crises (horse meat). In this regard, the PCA sector is experiencing a unique evolution as the penetration rate of MDD in this market has decreased since 2013, the date of the so-called horse meat crisis.  </w:t>
        <w:br/>
        <w:t xml:space="preserve">137. However, before the operation, Cofigeo primarily held two brands: Raynal and Roquelaure in the PCF segment and Zapetti in the PCI and PCE markets. The target, for its part, holds William Saurin in the PCF market and Garbit in the PCE market and operates the Panzani brand under license in the PCI market.  </w:t>
        <w:br/>
        <w:t xml:space="preserve">138. The market tests indicate that almost all distributors believe that the operation allows Cofigeo to acquire new "essential" brands from the consumer's perspective, particularly in the PCI segment. This view is shared by the vast majority of the parties' competitors.  </w:t>
        <w:br/>
        <w:t xml:space="preserve">139. Furthermore, the analysis of the process of selling the ambient prepared meals division of the Agripole group attests to the particular value associated with the target's brands within all its assets. Indeed, the brands held by the Agripole group were placed in a trust, intended to guarantee the amounts committed by banks and the State to support the interim needs of the companies held by Financière Turenne Lafayette during the divestiture period. This arrangement confirms that the target's brands had significant value, capable of convincing creditors to finance the Agripole group's activity until the end of the acquisition process.  </w:t>
        <w:br/>
        <w:t xml:space="preserve">140. The acquirer itself indicated during the investigation that the brands have essential value and that it plans to invest heavily in the brands after the operation. This is evident [Confidential] from the statements of Cofigeo representatives during their hearing: "our business is our brands and our ability to produce 'good cheap'. If we forget this, we will kill what remains of our activity."  </w:t>
        <w:br/>
        <w:t xml:space="preserve">141. Following the operation, the new entity will therefore hold all the well-known brands in the PCA sector, which constitute a determining choice criterion for the consumer.  </w:t>
        <w:br/>
        <w:t xml:space="preserve">c. Analysis of competitive proximity between Cofigeo and the target companies before the operation  </w:t>
        <w:br/>
        <w:t xml:space="preserve">142. The product ranges offered in the various segments of canned and jarred prepared meals are differentiated. Indeed, MDD coexist with MDF, which themselves adopt different positioning, such as "premium" or even "terroir" or "core market." This differentiation is particularly evident in the prices of these different products, which are dispersed. Thus, for the various segments, the prices of MDF products are significantly higher than those of MDD products, by about 60% for the so-called "shelf-end" products, and by about 40% for promotional products. Furthermore, the prices of higher-end PCF products are more than twice those of the so-called "core market" MDF products.  </w:t>
        <w:br/>
        <w:t xml:space="preserve">143. In this context, in addition to the analysis in terms of market shares, an analysis of the competitive proximity between the parties is an important element for estimating the horizontal effects of the operation. Indeed, as recalled in the aforementioned guidelines, "when the markets concerned by the concentration are markets for differentiated products or services, the proximity of the parties' offerings constitutes one of the factors likely to influence the probability that a transaction will result in a risk of harm to competition."  </w:t>
        <w:br/>
        <w:t xml:space="preserve">144. In this case, several elements show that the parties are close competitors, which is a factor for price increases, since the competitive constraint they represented on each other in the absence of the operation disappears due to the concentration. This competitive proximity is evidenced by several factual elements established during the investigation.  </w:t>
        <w:br/>
        <w:t xml:space="preserve">145. Firstly, the notifying party reported the delisting by Système U, in 2010, of the target's products, notably under the brands William Saurin and Panzani. According to it, this delisting resulted in a "virtually perfect transfer of volumes between Panzani and Zapetti at Système U"; in other words, Panzani, the target's brand, was almost entirely replaced by Zapetti, the acquirer's brand. In contrast, there was no notable transfer to MDD products. This concrete example shows that the closest competitor of the target is the acquirer, at least in the PCI segment, and that competition played out between MDF and not between MDF and MDD.  </w:t>
        <w:br/>
        <w:t xml:space="preserve">146. The notifying party observes in this regard that the Zapetti brand was a recent brand in 2010, which would demonstrate, according to it, that a brand with low notoriety and limited positions could replace a leading brand without impacting sales volumes.  </w:t>
        <w:br/>
        <w:t>147. However, this argument must be strongly relativized given the circumstances of the case: Zapetti was not a brand of low notoriety since it succeeded the brand.</w:t>
      </w:r>
    </w:p>
    <w:p>
      <w:r>
        <w:rPr>
          <w:b/>
        </w:rPr>
        <w:t>[Pages 28–30]</w:t>
      </w:r>
    </w:p>
    <w:p>
      <w:r>
        <w:t>Buitoni between 2005 and 2008, from which it gradually took over the labels of the products and the shelves, following a period of co-branding. The introduction of the Zapetti brand thus took advantage of the transfer of notoriety from the Buitoni brand, which was a highly renowned brand in the PCI market, and does not demonstrate at all that a new brand could easily be launched in a MDF market outside of these particular circumstances.</w:t>
      </w:r>
    </w:p>
    <w:p>
      <w:r>
        <w:t>148. Secondly, the internal documents provided during the investigation report numerous cross-references between the parties, comparing their respective performances, including during their negotiations with large retailers. These documents also show that the GMS make trade-offs essentially between Cofigeo and the target companies.</w:t>
      </w:r>
    </w:p>
    <w:p>
      <w:r>
        <w:t>149. Thus, several internal documents from the parties include graphs representing the market shares of the main operators in PCA in general or in certain recipe families in particular. All specifically identify the market shares of the parties, while other operators, with the exception of MDD, are mentioned less frequently [Confidential]. The internal documents also highlight the absence of reference to competition from other types of products (fresh, frozen, or meal kits, for example), which are, moreover, generally sold at significantly higher prices than PCA.</w:t>
      </w:r>
    </w:p>
    <w:p>
      <w:r>
        <w:t>150. Furthermore, the parties make detailed comparisons of their respective performances with certain clients, but also of their pricing positioning and their placement on the shelves, which reflects each party's strong concern regarding the other's performance.</w:t>
      </w:r>
    </w:p>
    <w:p>
      <w:r>
        <w:t>151. Finally, the internal documents testify to trade-offs considered by the GMS. [Confidential] In this case, the trade-off thus occurs solely between Cofigeo and the target. Moreover, GMS clients, in some cases, use the progress of negotiations with one of the parties to exert pressure on the other in commercial discussions.</w:t>
      </w:r>
    </w:p>
    <w:p>
      <w:r>
        <w:t>152. The notifying party objects that the internal documents would demonstrate the reality of competitive pressure exerted by MDD on the MDF products of the parties. However, the fact that MDD products are mentioned in several internal documents does not call into question the existence of a particularly strong competitive proximity between the parties regarding their MDF products, nor the fact that certain trade-offs by distributors occur exclusively between the MDF products of the parties, without involving MDD products.</w:t>
      </w:r>
    </w:p>
    <w:p>
      <w:r>
        <w:t>153. The Competition Authority therefore considers that the internal documents contribute to supporting the existence of a strong competitive proximity between the parties, particularly in the PCI and PCE segments.</w:t>
      </w:r>
    </w:p>
    <w:p>
      <w:r>
        <w:t>154. Thirdly, the analysis of the responses from distributors, questioned as part of the market tests, shows this competitive proximity from the demand perspective. In particular, distributors were asked if and how they would adjust their purchasing behavior if either party increased the price of its MDF products belonging to a given recipe family (PCF, PCI, PCE). These questions allow for the assessment of diversion ratios between the parties, defined as the share of sales lost by the manufacturer that increased its prices which would be captured by the other party to the operation. As highlighted in the aforementioned guidelines (§ 408), these diversion ratios allow for the evaluation of the level of competitive pressure that the parties exert on each other: the higher the diversion ratios, the stronger the competitive proximity between the parties and the greater the risk of unilateral effects.</w:t>
      </w:r>
    </w:p>
    <w:p>
      <w:r>
        <w:t>155. Some of the responses provided were, for various reasons, not usable for the purpose of calculating diversion ratios. These responses were therefore neutralized to retain only the responses that could be used in this perspective.</w:t>
      </w:r>
    </w:p>
    <w:p>
      <w:r>
        <w:t>156. The usable responses come from 5 main distributors active in France. It emerges from these responses that, among the clients who would adjust their purchasing policy following a price increase and, in practice, would decrease their supply from the manufacturer that increased the prices of its MDF products, all would compensate a significant part of this decrease in supply with additional purchases from the other party to the operation. The table below thus presents, for each of these clients and for each recipe family, the diversion ratios from Cofigeo (MDF) to the target and from the target (MDF) to Cofigeo, noting that these ratios only take into account the shifts to the MDF products of the other party, and not any potential shifts to MDD products manufactured by the other party; this is therefore a cautious estimate of possible shifts, which could be higher in the event of shifts to the MDD produced by the other party.</w:t>
      </w:r>
    </w:p>
    <w:p>
      <w:r>
        <w:t>Diversion Ratios</w:t>
        <w:br/>
        <w:t>1 2 3 4 5</w:t>
        <w:br/>
        <w:t>PCF</w:t>
        <w:br/>
        <w:t>Cofigeo MDF</w:t>
        <w:br/>
        <w:t>[60-80] % [40-60] % [80-100] % [40-60] % [60-80] %</w:t>
        <w:br/>
        <w:t>to Target MDF</w:t>
        <w:br/>
        <w:t>Target MDF to</w:t>
        <w:br/>
        <w:t>[60-80] % [40-60] % [80-100] % [60-80] % [80-100] %</w:t>
        <w:br/>
        <w:t>Cofigeo MDF</w:t>
        <w:br/>
        <w:t>PCI</w:t>
        <w:br/>
        <w:t>Cofigeo MDF</w:t>
        <w:br/>
        <w:t>[60-80] % [60-80] % [80-100] % [60-80] % [80-100] %</w:t>
        <w:br/>
        <w:t>to Target MDF</w:t>
        <w:br/>
        <w:t>Target MDF to</w:t>
        <w:br/>
        <w:t>[60-80] % [40-60] % [80-100] % [60-80] % [60-80] %</w:t>
        <w:br/>
        <w:t>Cofigeo MDF</w:t>
        <w:br/>
        <w:t>PCE</w:t>
        <w:br/>
        <w:t>Cofigeo MDF</w:t>
        <w:br/>
        <w:t>[60-80] % [60-80] % [80-100] % [80-100] % [80-100] %</w:t>
        <w:br/>
        <w:t>to Target MDF</w:t>
        <w:br/>
        <w:t>Target MDF to</w:t>
        <w:br/>
        <w:t>[60-80] % [40-60] % [80-100] % [60-80] % [60-80] %</w:t>
        <w:br/>
        <w:t>Cofigeo MDF</w:t>
        <w:br/>
        <w:t>Sources: responses from distributors to the questionnaire of January 24, 2018, calculations by the investigation services. The responses have been anonymized to preserve the confidentiality of the responses.</w:t>
      </w:r>
    </w:p>
    <w:p>
      <w:r>
        <w:t>157. For all recipe families (PCF, PCI, PCE), the diversion ratios between the parties are significant, all exceeding 40%. 83% of these diversion ratios are above 60%. These results indicate a strong competitive proximity between the parties. Moreover, overall, the diversion ratios tend to be higher for PCI and PCE than for PCF, which supports the idea that the competitive proximity between the parties is particularly marked for PCI and PCE.</w:t>
      </w:r>
    </w:p>
    <w:p>
      <w:r>
        <w:t>158. The notifying party mentioned a lack of representativeness and reliability of the responses from distributors, which would call these results into question.</w:t>
      </w:r>
    </w:p>
    <w:p>
      <w:r>
        <w:t>159. However, the Competition Authority considers that these estimates of diversion ratios are sufficiently reliable to be taken into account.</w:t>
      </w:r>
    </w:p>
    <w:p>
      <w:r>
        <w:t>160. Firstly, the usable responses, although numbering 5, correspond to distributors who together represent more than half of the distribution in France and approximately [60-70]% of the purchases of MDF products from the parties, this proportion being significantly similar across recipe families. Under these conditions, the usable responses are likely to reflect the overall situation for all clients of the parties.</w:t>
      </w:r>
    </w:p>
    <w:p>
      <w:r>
        <w:t>161. Secondly, the responses from distributors do indeed present a certain margin of uncertainty, a consequence of the hypothetical nature of the price increase scenario, which is reflected in the fact that some distributors provided ranges of diversion rates rather than single values. However, insofar as even the lowest ratios among the responses from distributors are high (over 40%, and even over 60% for the diversion ratios from Cofigeo to the target in PCI and PCE), and this even though they do not take into account potential shifts to MDD products manufactured by the parties, the diversion ratios between the parties are necessarily significant. Furthermore, the results of the analysis are consistent with other elements in the file, particularly the internal documents, especially regarding the observation of higher diversion ratios for PCI and PCE than for PCF.</w:t>
      </w:r>
    </w:p>
    <w:p>
      <w:r>
        <w:t>162. Thirdly, the previous results on the diversion ratios between the parties are not called into question by a consumer study that the notifying party commissioned for the needs of the file and which addresses the issue of "shifts from prepared meal brands in case of product unavailability or price increase."</w:t>
      </w:r>
    </w:p>
    <w:p>
      <w:r>
        <w:t>163. This study is based on a survey conducted among PCA consumers. The sample of consumers was divided into nine distinct targets (PCF Raynal &amp; Roquelaure, PCF William Saurin, PCF MDD, PCI Zapetti, PCI Panzani, PCI MDD, PCE Zapetti, PCE Garbit, PCE MDD). For a given target, consumers were asked about their last purchase of the target product type, and then about any potential change in their purchasing behavior in the event that the target product they purchased was unavailable or more expensive by 10%. This study was therefore potentially capable of providing elements on the competitive proximity between the parties to the operation.</w:t>
      </w:r>
    </w:p>
    <w:p>
      <w:r>
        <w:t>164. However, only 513 responses across all targets were obtained (between 48 and 79 respondents per target). The small number of respondents for the different targets leads to significant measurement inaccuracies, with the margin of error being related to the sample size. In this context, the consumer study does not rely on sufficiently large samples to allow for robust overall conclusions. Therefore, it is only as a subsidiary observation that the Competition Authority notes that the results of this study suggest that the parties are each other's primary competitors.</w:t>
      </w:r>
    </w:p>
    <w:p>
      <w:r>
        <w:t>165. In light of the preceding elements, the Competition Authority considers that there is a strong competitive proximity between the parties to the operation.</w:t>
      </w:r>
    </w:p>
    <w:p>
      <w:r>
        <w:rPr>
          <w:b/>
        </w:rPr>
        <w:t>[Pages 31–33]</w:t>
      </w:r>
    </w:p>
    <w:p>
      <w:r>
        <w:t>2. Quantitative elements for assessing price increases that may result from the operation</w:t>
      </w:r>
    </w:p>
    <w:p>
      <w:r>
        <w:t>166. Several elements allow for a quantitative assessment of the effects of the concentration on the risk and possible levels of price increases resulting from the operation.</w:t>
      </w:r>
    </w:p>
    <w:p>
      <w:r>
        <w:t>167. On the one hand, the responses from the surveyed customers allow for an estimation of the price changes practiced by the parties following the operation, through the calculation of GUPPI indices. Indeed, as recalled in the aforementioned guidelines, high levels of these indices (beyond 10%) suggest a significant increase in the prices of the parties following the operation (a).</w:t>
      </w:r>
    </w:p>
    <w:p>
      <w:r>
        <w:t>168. On the other hand, the notifying party provided an economic study aimed at simulating the "price effects" of the operation. This study does not call into question the likelihood of a significant increase in the prices of the parties following the operation (b).</w:t>
      </w:r>
    </w:p>
    <w:p>
      <w:r>
        <w:t>169. As a preliminary point, it is important to revisit the argument of the notifying party that, since the operation has already been carried out, its effects could already be observed in concreto through the results of the commercial negotiation campaign for the year 2018. The operation was carried out under derogation, subject to the condition that Cofigeo must refrain from any definitive act that would render the operation irreversible. In practice, the operation has therefore not taken full effect, as evidenced by the 2018 commercial negotiations conducted by separate sales teams for Cofigeo and for the target. Furthermore, the effects on the market of this concentration operation are likely to be felt gradually, especially in the context of the case where the operation was not definitively authorized during the 2018 negotiations and where its consequences were under analysis by the Competition Authority. In any case, as will be explained in paragraphs 297 and following, the course of the commercial negotiations of Cofigeo and the target for the year 2018 was rather favorable to them and shows that Cofigeo's situation has significantly improved in its commercial negotiations with GMS.</w:t>
      </w:r>
    </w:p>
    <w:p>
      <w:r>
        <w:t>a. Analysis of GUPPI indices resulting from the responses of distributors to the dedicated market test</w:t>
      </w:r>
    </w:p>
    <w:p>
      <w:r>
        <w:t>(i) Definition</w:t>
      </w:r>
    </w:p>
    <w:p>
      <w:r>
        <w:t>170. When a company producing good A acquires a company producing good B, it is all the more incentivized to raise its prices after the concentration as a significant portion of the sales it would lose by raising its prices would be diverted to good B, generating a margin that will also revert to it due to the operation.</w:t>
      </w:r>
    </w:p>
    <w:p>
      <w:r>
        <w:t>171. To measure this incentive, the gross upward price pressure index, or GUPPI (Gross Upward Price Pressure Index) from A to B, is defined as the margin realized on the units diverted to good B, in proportion to the loss of revenue on A, following a price increase of 5 to 10% of A.</w:t>
      </w:r>
    </w:p>
    <w:p>
      <w:r>
        <w:t>172. The GUPPI from A to B is thus obtained as the product:</w:t>
        <w:br/>
        <w:t>- of the diversion rate (or diversion ratio) from A to B, that is to say the proportion of sales diverted to B among the sales lost following the price increase of A;</w:t>
        <w:br/>
        <w:t>- of the variable cost margin of B;</w:t>
      </w:r>
    </w:p>
    <w:p>
      <w:r>
        <w:t>- and of the price ratio of B and A;</w:t>
        <w:br/>
        <w:t>expressed in algebraic form:</w:t>
        <w:br/>
        <w:t>𝑝</w:t>
        <w:br/>
        <w:t>𝐵</w:t>
        <w:br/>
        <w:t>𝐺𝑈𝑃𝑃𝐼 = 𝑅𝐷 .𝑚 .</w:t>
        <w:br/>
        <w:t>𝐴→𝐵 𝐴→𝐵 𝐵 𝑝</w:t>
        <w:br/>
        <w:t>𝐴</w:t>
      </w:r>
    </w:p>
    <w:p>
      <w:r>
        <w:t>173. As recalled in the aforementioned guidelines (§ 413), a high GUPPI index (i.e. above 5-10%) indicates a strong propensity of the new entity to increase its prices following the operation.</w:t>
      </w:r>
    </w:p>
    <w:p>
      <w:r>
        <w:t>174. Furthermore, this index can be related to the magnitude of the price increase resulting from the operation. Indeed, the profit realized on the additional sales of B, related to the number of units of A lost (the product of the diversion ratio and the margin on good B, i.e. RD .m .p), can be interpreted as an opportunity cost for the producer of A: any additional sale of good A corresponds indeed to a loss of opportunity for profits on good B, a loss proportional to the sales that could have been diverted to B. Due to the operation, the producer of A will have to take this new opportunity cost into account, just as if it were an increase in its production cost, and it will pass it on in the price of A. The resulting price increase then depends on the pass-through rate of these costs. In the absence of data allowing for a precise estimation of this rate, the assumption of a pass-through rate between 50% and 100% is generally retained. Under these assumptions, the price increase is then between 0.5 and 1 times the value taken by the GUPPI.</w:t>
      </w:r>
    </w:p>
    <w:p>
      <w:r>
        <w:t>175. The GUPPI index can thus help identify operations likely to generate significant unilateral effects. The aforementioned guidelines mention a threshold value of 5 to 10% of GUPPI indices, beyond which the operation is likely to lead to significant unilateral effects.</w:t>
      </w:r>
    </w:p>
    <w:p>
      <w:r>
        <w:t>(ii) Application to the case at hand</w:t>
      </w:r>
    </w:p>
    <w:p>
      <w:r>
        <w:t>176. The calculation of GUPPI indices must take into account, in this case, the fact that both the acquirer and the target produce several types of recipes (PCF, PCI, PCE) and under different ranges (MDF, MDD), which leads to multiple possibilities for diversion between the parties. For example, if, following a price increase of Cofigeo's PCF, diversions are observed both towards MDF PCF products and towards MDF PCI products of the target, the formula for the GUPPI from the acquirer to the target will include two terms, the first corresponding to the margin realized on the additional sales of the target's MDF PCF and the second to the margin realized on the additional sales of the target's MDF PCI, both related to the price of the affected MDF PCF products:</w:t>
        <w:br/>
        <w:t>GUPPI = RD .m .</w:t>
        <w:br/>
        <w:t>pcible,PCFMDF</w:t>
        <w:br/>
        <w:t>Cofigeo,PCF→cible Cofigeo,PCF→cible,PCFMDF cible,PCFMDF</w:t>
        <w:br/>
        <w:t>pCofigeo,PCF</w:t>
        <w:br/>
        <w:t>+ RD .m .</w:t>
        <w:br/>
        <w:t>pcible,PCIMDF</w:t>
        <w:br/>
        <w:t>Cofigeo,PCF→cible,PCIMDF cible,PCIMDF</w:t>
        <w:br/>
        <w:t>pCofigeo,PCF</w:t>
      </w:r>
    </w:p>
    <w:p>
      <w:r>
        <w:t>177. The Competition Authority thus calculated GUPPI indices based on the following elements:</w:t>
        <w:br/>
        <w:t>- the information regarding the diversion ratios obtained through a dedicated questionnaire sent to distributors, the results of which are presented above in paragraph 156;</w:t>
      </w:r>
    </w:p>
    <w:p>
      <w:r>
        <w:t>- the variable cost margins of the target and Cofigeo as resulting from the data provided by the notifying party;</w:t>
        <w:br/>
        <w:t>- the selling prices to distributors of the target's and Cofigeo's products, calculated from the revenues and sales volumes provided by the distributors in their response to the dedicated questionnaire.</w:t>
      </w:r>
    </w:p>
    <w:p>
      <w:r>
        <w:t>178. A GUPPI index for each customer of the new entity was calculated, based on the diversion rate corresponding to the response of each concerned customer and the average supply prices observed for that customer, regarding the MDF products of Cofigeo and the target. This calculation of the GUPPI index by customer provides an indication of the incentive for the new entity to raise the price for the concerned customer, as prices are largely negotiated on a case-by-case basis with each customer. It should be noted again that the diversion rates used for this calculation only take into account the diversions towards the MDF of the other party, and not the diversions towards the MDD. The parties being significant manufacturers of MDD products, the diversion rates used, and consequently the calculated GUPPI indices, are therefore possibly underestimated.</w:t>
      </w:r>
    </w:p>
    <w:p>
      <w:r>
        <w:t>179. The following table presents the results obtained:</w:t>
        <w:br/>
        <w:t>GUPPI indices based on the responses of each distributor</w:t>
        <w:br/>
        <w:t>Client 1 Client 2 Client 3 Client 4 Client 5</w:t>
        <w:br/>
        <w:t>PCF</w:t>
        <w:br/>
        <w:t>Cofigeo MDF to</w:t>
        <w:br/>
        <w:t>[15-20]% [10-15]% [30-40]% [15-20]% [20-30]%</w:t>
        <w:br/>
        <w:t>Target MDF</w:t>
        <w:br/>
        <w:t>Target MDF to</w:t>
        <w:br/>
        <w:t>[30-40]% [15-20]% [20-30]% [15-20]% [20-30]%</w:t>
        <w:br/>
        <w:t>Cofigeo MDF</w:t>
        <w:br/>
        <w:t>PCI</w:t>
        <w:br/>
        <w:t>Cofigeo MDF to</w:t>
        <w:br/>
        <w:t>[20-30]% [15-20]% [30-40]% [20-30]% [30-40]%</w:t>
        <w:br/>
        <w:t>Target MDF</w:t>
        <w:br/>
        <w:t>Target MDF to</w:t>
        <w:br/>
        <w:t>[30-40]% [15-20]% [20-30]% [20-30]% [20-30]%</w:t>
        <w:br/>
        <w:t>Cofigeo MDF</w:t>
        <w:br/>
        <w:t>PCE</w:t>
        <w:br/>
        <w:t>Cofigeo MDF to</w:t>
        <w:br/>
        <w:t>[15-20]% [20-30]% [30-40]% [15-20]% [30-40]%</w:t>
        <w:br/>
        <w:t>Target MDF</w:t>
        <w:br/>
        <w:t>Target MDF to</w:t>
        <w:br/>
        <w:t>[20-30]% [10-15]% [15-20]% [20-30]% [15-20]%</w:t>
        <w:br/>
        <w:t>Cofigeo MDF</w:t>
        <w:br/>
        <w:t>Sources: responses from distributors to the questionnaire of January 24, 2018, calculations by the investigation services</w:t>
      </w:r>
    </w:p>
    <w:p>
      <w:r>
        <w:t>180. The overall GUPPI indices per customer exceed 10%, which is above the threshold of 5-10% mentioned in the aforementioned guidelines beyond which unilateral effects are deemed significant.</w:t>
      </w:r>
    </w:p>
    <w:p>
      <w:r>
        <w:t>181. Assuming that the cost pass-through rate is 75%, and based on the lowest GUPPI index per distributor obtained for each category of recipes, the price increase on the parties' products following the operation would reach, at a minimum and for the customers who provided usable responses: [7.5-11.3]% for PCF; [11.3-15]% for PCI; and [7.5-11.3]% for PCE. Given that the customers who provided usable responses represent more than 50% of distribution in France and 60% of PCA purchases.</w:t>
      </w:r>
    </w:p>
    <w:p>
      <w:r>
        <w:rPr>
          <w:b/>
        </w:rPr>
        <w:t>[Pages 34–36]</w:t>
      </w:r>
    </w:p>
    <w:p>
      <w:r>
        <w:t>under MDF made to the parties, these figures can be used as references for the market as a whole.</w:t>
      </w:r>
    </w:p>
    <w:p>
      <w:r>
        <w:t>182. Thus, the GUPPI indices constructed based on the responses from distributors are particularly high and indicate that the effects on prices of the operation could be very pronounced.</w:t>
      </w:r>
    </w:p>
    <w:p>
      <w:r>
        <w:t>183. The notifying party considers that the use of GUPPI indices only allows for a somewhat imprecise assessment of the effects on prices of concentration operations, since the transformation of these indices into price increases requires strong assumptions about the level of cost pass-through into prices. It therefore favors a merger simulation approach, which is the subject of the economic study examined below (paragraphs 188 and following). Furthermore, the notifying party proposes an alternative evaluation of the GUPPI indices, based not on the responses from distributors, which it considers approximate, but on calibrated diversion ratios derived from the model of its economic study. The values of the GUPPI indices thus obtained are, according to the notifying party, lower than the previously mentioned values, and, in some cases, below 5% (GUPPI from the target to Cofigeo for PCE and PCF).</w:t>
      </w:r>
    </w:p>
    <w:p>
      <w:r>
        <w:t>184. The limitations put forward by the notifying party do not, however, call into question the conclusions of the analysis carried out by the Competition Authority.</w:t>
      </w:r>
    </w:p>
    <w:p>
      <w:r>
        <w:t>185. Firstly, while the conversion of GUPPI indices into price increases is indeed subject to certain assumptions, the same applies to a merger simulation exercise such as that proposed in the economic study submitted by the notifying party and discussed below. Moreover, it has been recalled above that the cost pass-through rate into prices is generally between 50% and 100%, with the 50% rate corresponding to a monopoly facing linear demand, and the 100% rate to a situation of perfect competition. Regardless of the pass-through rate chosen, given the high levels of the lowest GUPPI indices resulting from the responses of distributors (over 10%, even over 15%, for PCI), the price increases resulting from the operation would be significant. In these circumstances, the notifying party's reservations regarding the use of GUPPI indices resulting from the responses of distributors do not appear to be relevant.</w:t>
      </w:r>
    </w:p>
    <w:p>
      <w:r>
        <w:t>186. Secondly, and in any event, the levels of the GUPPI indices that would result from the diversion ratios obtained in the context of the merger simulation are, for the most part, above 5%. Thus, the GUPPI indices from Cofigeo to the target exceed 5%, regardless of the family of products considered. Furthermore, the GUPPI index from the target to Cofigeo exceeds 5% for PCI; it also exceeds 5% in one of the two models considered by the study for PCF.</w:t>
      </w:r>
    </w:p>
    <w:p>
      <w:r>
        <w:t>187. In these circumstances, the GUPPI indices calculated by both the Competition Authority and the notifying party clearly demonstrate a strong risk of unilateral effects from the operation.</w:t>
      </w:r>
    </w:p>
    <w:p>
      <w:r>
        <w:t>b. Analysis of the economic study submitted by the notifying party</w:t>
      </w:r>
    </w:p>
    <w:p>
      <w:r>
        <w:t>188. The notifying party has submitted to the file an economic study concerning the "analysis of demand and potential unilateral effects" of the operation. This study first proposes a modeling of the supply and demand of PCA, and then, in a second stage, simulates the effect of the operation.</w:t>
      </w:r>
    </w:p>
    <w:p>
      <w:r>
        <w:t>(i) Methodology</w:t>
      </w:r>
    </w:p>
    <w:p>
      <w:r>
        <w:t>189. This study is primarily based on data from IRI source 55, which concerns weekly retail sales of PCA by hypermarkets and supermarkets in metropolitan France, from the period of July 2016 to June 2017. They do not cover PCA sales made by convenience stores or online, and therefore represent approximately 80% of total PCA sales.</w:t>
      </w:r>
    </w:p>
    <w:p>
      <w:r>
        <w:t>190. The study proceeds in two stages. It first proposes a modeling of the supply and demand of PCA and determines "plausible" parameters of the chosen model (which induce own-price elasticities for each brand, cross-price elasticities between each pair of brands, manufacturers' marginal costs, etc.). Then, it simulates the changes in the market situation induced by the operation, including prices, assuming that Cofigeo and the target jointly set their prices to maximize their joint profit, rather than maximizing their individual profits.</w:t>
      </w:r>
    </w:p>
    <w:p>
      <w:r>
        <w:t>191. The study uses a nested logit model to simulate consumer preferences. Such a model is based on the assumption that products can be grouped into different product groups (nodes or "nests") to reflect the proximity between different products. Thus, according to the terms of this study, the node structure allows for "taking into account the fact that some products are more similar than others, and are therefore likely to be more substitutable with each other than with other products." It follows that "when the price of one product increases, substitution is stronger towards products in the same node than towards products in other nodes."</w:t>
      </w:r>
    </w:p>
    <w:p>
      <w:r>
        <w:t>192. The study proposes two "node structures":</w:t>
        <w:br/>
        <w:t>- a first node structure (NS1), which consists of a single level of nodes, with three main nodes (PCF, PCI, PCE) and one external good. This scenario assumes that MDD products are in direct competition with MDF products;</w:t>
        <w:br/>
        <w:t>- a second node structure (NS2), composed of three main nodes (PCF, PCI, PCE), each of these nodes containing two sub-nodes including, for one, MDF products, and for the other, MDD products, and one external good. In this scenario, it is assumed that consumers distinguish both between the three segments of PCA, but also, within each segment, between MDF products and MDD products. The ranges of parameters considered in the study are such that, by construction, within a given family of products (PCF, PCI, PCE), the competitive pressure exerted by MDD products on MDF products is lower than the competitive pressure between MDF products (or between MDD products).</w:t>
      </w:r>
    </w:p>
    <w:p>
      <w:r>
        <w:t>193. In this study, the price elasticities of demand are not estimated from market developments, but are obtained through "calibration." The study thus identifies plausible values of parameters describing, in particular, the degree of substitutability, from the demand perspective, between the different families of products and, for the NS2 model only, the degree of competitive pressure of MDD on MDF, as well as the marginal costs of the companies. As a result, several plausible configurations of the demand model are obtained, to which different price effects are associated.</w:t>
      </w:r>
    </w:p>
    <w:p>
      <w:r>
        <w:t>194. Regarding the simulation of the effects of the operation, the study simulates post-operation retail prices taking into account the plausible parameters of the demand model and the marginal costs of the companies identified previously, and determining the price level that maximizes the profit of the new entity. The "price effects" of the operation indicate the difference between prices after the operation and prices before the operation.</w:t>
      </w:r>
    </w:p>
    <w:p>
      <w:r>
        <w:t>(ii) Results of the study</w:t>
      </w:r>
    </w:p>
    <w:p>
      <w:r>
        <w:t>195. Firstly, the study calculated the diversion ratios between the brands of the parties and brands of parties to the MDD corresponding to the plausible solutions of the model. The diversion ratios of the brands of the parties to the MDD would be higher (NS1 model) or close (NS2 model) to the diversion ratios between the parties, which would establish "the existence of a significant competitive constraint exerted by the MDD on the MN [National Brands]." These results would argue for including the MDD in the same product market as the MDF.</w:t>
      </w:r>
    </w:p>
    <w:p>
      <w:r>
        <w:t>196. Secondly, the study presents the "price effects" of the operation. Two scopes of price effects are described in the results: the effects on the prices of products from all manufacturers (parties and competitors of the parties, "all products" columns in the tables below) and the effects on the prices of products from only the parties to the operation ("products of the parties" columns in the following tables).</w:t>
      </w:r>
    </w:p>
    <w:p>
      <w:r>
        <w:t>197. The tables below present the price effects (in practice, the price increases) as presented in the study, calculated, for the first table, based on the node structure NS1 (MDF and MDD products in direct competition) and, for the second table, based on the node structure NS2 (competitive pressure of MDD products on MDF products lower than the competitive pressure exerted by MDF products among themselves).</w:t>
      </w:r>
    </w:p>
    <w:p>
      <w:r>
        <w:rPr>
          <w:b/>
        </w:rPr>
        <w:t>[Pages 37–39]</w:t>
      </w:r>
    </w:p>
    <w:p>
      <w:r>
        <w:t>Weighted average price effects for all Weighted average price effects for the</w:t>
        <w:br/>
        <w:t>products products of the parties</w:t>
        <w:br/>
        <w:t>Node</w:t>
        <w:br/>
        <w:t>Average Upper bound Average Upper bound</w:t>
        <w:br/>
        <w:t>Exotic [0-5] % [0-5] % [5-10] % [5-10] %</w:t>
        <w:br/>
        <w:t>French [0-5] % [0-5] % [0-5] % [0-5] %</w:t>
        <w:br/>
        <w:t>Italian [5-10] % [5-10] % [5-10] % [5-10] %</w:t>
        <w:br/>
        <w:t>Weighted average price effects for all Weighted average price effects for the</w:t>
        <w:br/>
        <w:t>products products of the parties</w:t>
        <w:br/>
        <w:t>Node</w:t>
        <w:br/>
        <w:t>Average Upper bound Average Upper bound</w:t>
        <w:br/>
        <w:t>Exotic [5-10] % [5-10] % [5-10] % [10-15] %</w:t>
        <w:br/>
        <w:t>French [0-5] % [0-5] % [5-10] % [5-10] %</w:t>
        <w:br/>
        <w:t>Italian [5-10] % [10-15] % [10-15] % [15-20] %</w:t>
        <w:br/>
        <w:t>198. The study considers that:</w:t>
        <w:br/>
        <w:t>“the weighted average of the simulated price effects across all PCA remains contained, particularly in the NS1 variant,</w:t>
        <w:br/>
        <w:t>- the price effects associated with PCF products are very limited, in both variants,</w:t>
        <w:br/>
        <w:t>- there are price effects associated with PCE, the magnitude of which, however, depends on the variant,</w:t>
        <w:br/>
        <w:t>- the price effects are more significant for PCI, under both variants.”</w:t>
        <w:br/>
        <w:t>199. It also invites to put these simulation results into perspective “since they do not incorporate several determining factors of the effects specific to the operation.” Four factors are considered: (i) efficiency gains are not taken into account in the figures presented by the study while they would limit the price effects; (ii) the simulations do not fully integrate the counter-power of large distribution, and particularly the possibilities of retaliation on other products than the PCA also sold in GMS by the parties; (iii) the “effects of product repositioning after the operation” have also not been integrated while they are “likely to limit unilateral effects by distancing the parties' products but causing the rapprochement of rival suppliers' products”; (iv) the counterfactual chosen to carry out the simulation is the “pre-operation situation (…) [which] was however not sustainable, since Agripole would most likely have ceased its operations in the absence of a takeover by Cofigeo. In fact, the counterfactual situation to be considered in estimating the price effects of the operation would have involved fewer actors/brands than in the pre-operation situation and would have led to higher price levels. The effects specific to the operation, which must be assessed against these counterfactual levels, would be reduced accordingly.”</w:t>
        <w:br/>
        <w:t>(iii) Analysis of the Competition Authority</w:t>
        <w:br/>
        <w:t>On the methodology implemented</w:t>
        <w:br/>
        <w:t>additional on the data period used. This complementary version does not, however, call into question the study of March 6, 2018, which uses the data period containing the richest information (paragraph 3.31 of the study annexed to the observations), and results in price effects very close to those of the study of March 6, 2018.</w:t>
      </w:r>
    </w:p>
    <w:p>
      <w:r>
        <w:t>200. The type of methodology used in the study is relevant for assessing the effects of the operation on prices. Such tools have indeed been used by the European Commission in several concentration cases. However, this type of exercise is subject to certain limitations, which invite caution in interpreting the results and to consider them in light of other qualitative and quantitative elements of the file.</w:t>
        <w:br/>
        <w:t>201. Beyond the intrinsic limit, whereby any modeling of supply and demand may inherently not exactly correspond to the behavior of market actors, three elements must be emphasized.</w:t>
        <w:br/>
        <w:t>202. First, the model does not take into account the fact that, in addition to MDF products, the parties produce significantly MDD products. Thus, the price effects are simulated without considering that the shifts from MDF products to MDD products benefit, to some extent, the parties, this option necessarily leading to an underestimation of the price effects simulated by the study. The notifying party does not contest this limit, but it provides elements justifying that this underestimation should be relativized, notably the fact that the margin realized on MDD products is relatively low. If this observation is correct, it remains that the strong position of the new entity as a supplier of MDD, particularly in the PCI and PCE markets, implies that it will largely benefit from the shifts towards MDD products.</w:t>
        <w:br/>
        <w:t>203. Second, the model does not fully take into account the capacity constraints of the parties' competitors, which will be seen below (paragraphs 244 and following) to be significant, particularly for PCI and PCE. The notifying party notes that they play a role in the competitors' strategies before the operation and help explain the observed market situation. However, the study does not verify that the simulated post-operation situation is consistent with the capacity constraints (i.e. the parties' competitors have the necessary production capacity to meet the additional demand directed at them after the price increase of the parties' products marketed under MDF). If competitors are unable to produce the additional volumes that would be ordered from them, the possibilities of shifts to competitors would be more limited, which could allow the parties to increase their prices beyond what the simulation predicts.</w:t>
        <w:br/>
        <w:t>204. Lastly, among the two node structures proposed in the notifying party's study (NS1 and NS2), the NS2 structure appears more realistic. Indeed, without prejudice to the existence of a market grouping MDF and MDD or two separate markets (see the analysis presented previously in paragraphs 58 and following), the presence of differentiated products on the market, recalled above, and the important role played by brands imply that the customer bases of MDF products and MDD products could be partially different. Under these conditions, it is likely that the shifts towards MDF products and towards MDD products do not occur proportionally to the observed market shares of these two types of products.</w:t>
        <w:br/>
        <w:t>205. However, the logit model used implies that the shifts, within each product node, occur based on market shares in the node. Thus, in the NS1 model, the fact that MDF and MDD products are included in the same product groups mechanically implies, due to market shares, higher shift rates from a MDF of the parties to the MDD than to other MDF. This situation differs significantly from what emerges from the responses of distributors or the natural experience of delisting products from the target by Système U mentioned above.</w:t>
        <w:br/>
        <w:t>206. Unlike the NS1 model, the NS2 model places MDF and MDD in different sub-nodes: it does not impose a hierarchy on the shifts towards MDF and the shifts towards MDD. Moreover, in the results of NS2, the shifts towards MDF are greater than the shifts towards MDD, which is more consistent with other elements in the file.</w:t>
        <w:br/>
        <w:t>207. The Authority therefore considers that the NS2 model and its results are more credible than those of the NS1 model.</w:t>
        <w:br/>
        <w:t>208. In conclusion, the methodology of the notifying party's economic study is subject to certain limitations that invite to relativize the analysis of these results. In particular, some aspects of the chosen method could lead to the simulated price effects of the operation being underestimated.</w:t>
        <w:br/>
        <w:t>On the results</w:t>
        <w:br/>
        <w:t>209. Subject to the methodological limits outlined above, the Competition Authority observes that the price effects mentioned by the study are, in any case, significant, particularly in the PCI and PCE markets. The arguments presented in the study to relativize these price effects of the operation do not lead to questioning this conclusion.</w:t>
        <w:br/>
        <w:t>- On the price effects estimated by the study</w:t>
        <w:br/>
        <w:t>210. The results of the study show that the unilateral effects resulting from the operation could be major.</w:t>
        <w:br/>
        <w:t>211. In the NS2 model, considered the most relevant by the Competition Authority, the simulated price effects are very pronounced on PCE and PCI; they are more limited on PCF.</w:t>
        <w:br/>
        <w:t>212. Thus, the effects on the prices of products, all manufacturers combined, reach, on average, across all plausible solutions of the model used, more than [5-10] % on PCE and more than [5-10] % for PCI. The effects are more limited on PCF (approximately [0-5] % on the prices of products all manufacturers combined).</w:t>
        <w:br/>
        <w:t>213. Referring to the effects on the prices of the products of the parties alone, the price increases are around [5-10] % on PCE and nearly [10-15] % on PCI. The price effects on PCF are weaker (approximately [5-10] %).</w:t>
      </w:r>
    </w:p>
    <w:p>
      <w:r>
        <w:rPr>
          <w:b/>
        </w:rPr>
        <w:t>[Pages 40–42]</w:t>
      </w:r>
    </w:p>
    <w:p>
      <w:r>
        <w:t>214. These results can be supplemented by the price effects for each of the parties to the operation, reported in the table below (average across all solutions deemed plausible by the study)61:</w:t>
        <w:br/>
        <w:t>Average price effect</w:t>
        <w:br/>
        <w:t>NS1 NS2</w:t>
        <w:br/>
        <w:t>PCE (Garbit) [0-5] % [5-10] %</w:t>
        <w:br/>
        <w:t>Target PCF (PetitJean/WS) [0-5] % [0-5] %</w:t>
        <w:br/>
        <w:t>PCI (Panzani) [5-10] % [5-10] %</w:t>
        <w:br/>
        <w:t>PCE (Zapetti) [5-10] % [10-15] %</w:t>
        <w:br/>
        <w:t>Cofigeo PCF (Raynal &amp; Roquelaure) [5-10] % [10-15] %</w:t>
        <w:br/>
        <w:t>PCI (Zapetti) [10-15] % [15-20] %</w:t>
      </w:r>
    </w:p>
    <w:p>
      <w:r>
        <w:t>215. It can be observed that the price effects on Cofigeo's brands are, for each recipe category, stronger than on the target's brands, with the market shares of the target's brands being higher than those of Cofigeo's brands. These price effects are significant across all recipe categories, as they are systematically above [10-20] % in the NS2 model (average across the different solutions considered plausible by the study). The price effects of the operation for the target's brands are more moderate, but remain significant for the PCI (nearly [5-10] % on average) and PCE ([5-10] % on average). For the PCF, the price effects on the target's products are more limited.</w:t>
      </w:r>
    </w:p>
    <w:p>
      <w:r>
        <w:t>216. These results therefore show that the operation is expected to result in substantial price increases, particularly in the PCE and PCI markets.</w:t>
      </w:r>
    </w:p>
    <w:p>
      <w:r>
        <w:t>217. These price effects are more limited for the PCF market. These results are consistent with those obtained by exploiting the responses of distributors to the market test conducted by the Competition Authority. This finding is reinforced by the fact that the results of the study are likely to be underestimated for the reasons developed previously (see paragraphs 201 and following).</w:t>
      </w:r>
    </w:p>
    <w:p>
      <w:r>
        <w:t>218. The Competition Authority considers that the NS1 specification is less relevant than the NS2 specification. Nevertheless, even when retaining the results of the NS1 specification recalled in paragraph 197, the simulated price effects remain significant, although lower than those obtained with the NS2 specification, particularly for the PCI and PCE. For example, the price effects on the prices of PCE across all manufacturers are around [0-5] % ([5-10] % for the prices of the parties' products only), and those on the prices of PCI across all manufacturers exceed [5-10] % (more than [5-10] % for the parties' products only). For the PCF, the price effects are lower, below [0-5] % (across all manufacturers) or [0-5] % (products of the parties only).</w:t>
      </w:r>
    </w:p>
    <w:p>
      <w:r>
        <w:t> On the factors mitigating the price effects mentioned by the study</w:t>
      </w:r>
    </w:p>
    <w:p>
      <w:r>
        <w:t>219. As indicated in paragraph 199, the study mentions several arguments that would temper the results of the simulations. Furthermore, the notifying party indicated that the analysis of unilateral effects should take into account the fact that, prior to the operation, the target had set prices unrelated to its production costs, as a consequence of a particularly aggressive commercial and promotional policy, which could not have been sustained in the long term and had led to the erosion of its margins and ultimately to its failure.</w:t>
      </w:r>
    </w:p>
    <w:p>
      <w:r>
        <w:t>Thus, measuring the effects of the operation on the prices of the operation compared to the pre-operation price levels would necessarily lead to an overestimation of the magnitude of the price increases. These arguments put forward by the notifying party must be dismissed.</w:t>
      </w:r>
    </w:p>
    <w:p>
      <w:r>
        <w:t>220. In fact, regarding efficiency gains, it will be seen below that the notifying party does not sufficiently demonstrate their magnitude and the likelihood that they would be passed on to customers. In any case, the notifying party proposed an adjusted estimate of the price effects observed in the study by incorporating efficiency gains related to the operation. This estimate shows that the efficiency gains only slightly change the magnitude of the price increases presented above for the PCE and PCI markets. Indeed, in the highest hypothetical efficiency gains considered, namely a reduction of [0-5] % in variable costs, the price effects across all manufacturers decrease by less than [...] percentage points, which does not call into question the order of magnitude of the price effects on the PCE and PCI. The price effects on the PCF are, however, relatively more limited (the effects on prices across all manufacturers become less than [0-5] % in the NS2 model and less than [0-5] % in the NS1 model).</w:t>
      </w:r>
    </w:p>
    <w:p>
      <w:r>
        <w:t>221. Regarding any potential product repositioning effects after the operation, this is a purely theoretical possibility, as evidenced by the fact that the notifying party did not provide, in response to the request from the investigation services, documents attesting to this eventuality in the specific case.</w:t>
      </w:r>
    </w:p>
    <w:p>
      <w:r>
        <w:t>222. Regarding the countervailing power of large retailers, as will be detailed below (paragraphs 277 and following), the elements of the file show that the unilateral effects generated by the operation in the PCI and PCE markets are not likely to be challenged by the behavior of distributors, particularly given the absence of a credible alternative supplier in these markets capable of countering the demands made by the new entity in the context of commercial negotiations.</w:t>
      </w:r>
    </w:p>
    <w:p>
      <w:r>
        <w:t>223. Regarding the counterfactual, as recalled in paragraphs 104 and following, the hypothesis that the target would have ceased its operations in the absence of the acquisition by Cofigeo, which would have led to the disappearance of production tools or brands, is not the only alternative scenario to the acquisition of the target by Cofigeo, nor the most credible alternative scenario. At least two other credible acquisition scenarios by third parties would have led to a market situation close to that before the operation. Therefore, as explained previously, taking the situation before the operation as a reference, as the simulation did, or the more credible situation of an acquisition by [operator 2] or by [operator 3] would not significantly alter the measurement of the effects of the operation on prices and could therefore not call into question the conclusion on the risk of unilateral effects.</w:t>
      </w:r>
    </w:p>
    <w:p>
      <w:r>
        <w:t>224. Finally, regarding the notifying party's argument that the target's prices would have been, before the operation, unrelated to its production costs and could not have been maintained at those levels, two elements should be noted.</w:t>
      </w:r>
    </w:p>
    <w:p>
      <w:r>
        <w:t>225. First, the hypothesis that the target's price levels before the operation were significantly lower than the prices that would have reflected its production costs is uncertain. On the one hand, it is not demonstrated regarding the PCA of the target, and notably its MDF, the only products for which the effects on prices are studied. On the other hand, the elements provided by the notifying party regarding its profitability and that of the target indicate that the variable cost margin rates of the parties were significantly equivalent in MDF. However, if the target had set particularly aggressive prices unrelated to its production costs, it would have been expected that it would show lower margin rates than Cofigeo, which is not the case. Finally, if the target's prices had been excessively low before the operation, a catch-up on these prices could have been anticipated after its acquisition; however, this catch-up did not occur since the 2018 price changes are very close for Cofigeo's brands and the target.</w:t>
      </w:r>
    </w:p>
    <w:p>
      <w:r>
        <w:t>226. Secondly, even assuming that the target's prices were artificially low before the operation, an adjusted analysis of the quantitative elements would not necessarily have led to the conclusion of lower price effects from the operation, contrary to what the notifying party argues.</w:t>
      </w:r>
    </w:p>
    <w:p>
      <w:r>
        <w:t>227. Thus, the GUPPI indices would likely not have been significantly lower than those presented in paragraphs 176-182 if the target's prices had been higher. Indeed, while it is difficult to determine in which direction the diversion ratios between the parties would have been modified in this situation, the variable cost margins of the parties would have been higher: the variable cost margin of the target would hypothetically have been higher than that used in the previous calculations, as would, presumably, that of Cofigeo, which could have increased its prices and thus its margin due to the reduced competitiveness of the target. However, these higher margins would have contributed to increasing the GUPPI indices between the parties, these indices being proportional to the variable cost margin. In any case, given the particularly high levels of the lowest GUPPI indices resulting from the distributors' responses, the Competition Authority considers the hypothesis that the "artificially low" nature of the target's prices, assuming it is proven, could call into question the conclusion that the GUPPI indices would be overall above the critical threshold of 5-10 % mentioned in the aforementioned guidelines as implausible.</w:t>
      </w:r>
    </w:p>
    <w:p>
      <w:r>
        <w:t>228. Regarding the merger simulation, the notifying party, which itself proposed to use this tool, does not propose an adjusted version to take into account the alleged decoupling between the target's prices and its production costs. However, if the reference point of the pre-operation situation were modified to take into account the supposed artificial nature of the target's prices before the operation, the endpoint representing the situation after the operation would also be modified. Indeed, a change in the target's prices would lead competitors in the market to adjust their own prices, resulting in a pre-merger equilibrium that differs from the one observed. In this hypothetical configuration, the competitive constraints that operators exert on the market among themselves would be modified and, consequently, the pricing positioning of operators after the operation. It cannot therefore be concluded a priori, as the notifying party does, that "the measurement of the price effects induced by the operation in comparison with the pre-operation price levels necessarily leads to overestimating the magnitude of the price increases likely to result from the operation," nor, a fortiori, that this potential overestimation would be sufficiently strong to call into question the previous conclusions.</w:t>
      </w:r>
    </w:p>
    <w:p>
      <w:r>
        <w:t>229. Therefore, the fact that the target's prices were artificially low, assuming, which is not demonstrated, this hypothesis is proven, does not call into question the conclusion that the operation could lead to substantial price increases, particularly in the PCI and PCE markets.</w:t>
      </w:r>
    </w:p>
    <w:p>
      <w:r>
        <w:t>230. In conclusion on this point, the economic study presented by the notifying party is not of a nature to call into question the finding that the operation presents significant risks of unilateral effects and significant price increases in the PCI and PCE markets.</w:t>
      </w:r>
    </w:p>
    <w:p>
      <w:r>
        <w:t>231. The risks of price increases in the PCF market are, on the other hand, more moderate due to the more limited position of the new entity in this market, which is more confronted with competition from other operators, both in terms of MDD and MDF.</w:t>
      </w:r>
    </w:p>
    <w:p>
      <w:r>
        <w:rPr>
          <w:b/>
        </w:rPr>
        <w:t>[Pages 43–45]</w:t>
      </w:r>
    </w:p>
    <w:p>
      <w:r>
        <w:t>c. Conclusion on the quantitative elements for assessing price increases that may result from the operation</w:t>
      </w:r>
    </w:p>
    <w:p>
      <w:r>
        <w:t>232. It follows from the above that the various quantitative studies proposed by both the Competition Authority and the notifying party all indicate significant effects of the operation on prices (upward).</w:t>
      </w:r>
    </w:p>
    <w:p>
      <w:r>
        <w:t>3. Analysis of the notifying party's arguments regarding elements likely to discipline the competitive behavior of the new entity following the operation</w:t>
      </w:r>
    </w:p>
    <w:p>
      <w:r>
        <w:t>233. According to the notifying party, the operation is not likely to generate unilateral effects given the very limited profitability of its production sites, which would be very sensitive to a loss of production volume (a.), the competitive pressure exerted by its current and potential competitors (b), and the countervailing power of large retailers (c.).</w:t>
      </w:r>
    </w:p>
    <w:p>
      <w:r>
        <w:t>a. On the disciplining nature of the limited profitability of the new entity's production sites</w:t>
      </w:r>
    </w:p>
    <w:p>
      <w:r>
        <w:t>(i) Position of the notifying party</w:t>
      </w:r>
    </w:p>
    <w:p>
      <w:r>
        <w:t>234. The notifying party contests the risk of price increases following the operation, invoking the fact that it would be essential to maintain low prices to ensure a high level of demand and ensure the profitability of the various production sites of the new entity, given the importance of fixed production costs. Indeed, an increase in prices could penalize certain factories, which would then be exposed to significant losses in volumes that would not be compensated by an increase in unit margin. The profitability of these factories could therefore be called into question. According to the notifying party, it would be difficult, in the medium term, for an operator to maintain its activities at a site that is persistently loss-making.</w:t>
      </w:r>
    </w:p>
    <w:p>
      <w:r>
        <w:t>235. The notifying party takes the example of [Confidential], simulating its financial result (Ebitda) in the case of an increase of […] % in the prices of [Confidential] products. According to it, such a price increase would deteriorate the result of [Confidential], which would jeopardize its survival.</w:t>
      </w:r>
    </w:p>
    <w:p>
      <w:r>
        <w:t>(ii) Assessment in the specific case</w:t>
      </w:r>
    </w:p>
    <w:p>
      <w:r>
        <w:t>236. The argument put forward by the notifying party regarding the disciplining nature of the limited profitability of the production sites is not convincing for several reasons.</w:t>
      </w:r>
    </w:p>
    <w:p>
      <w:r>
        <w:t>237. First, the initial assumption that an operator would prefer all of its production sites to be profitable rather than maximizing its overall result, even if some production sites are loss-making, is uncertain and unproven.</w:t>
      </w:r>
    </w:p>
    <w:p>
      <w:r>
        <w:t>238. Second, and in any case, the notifying party does not demonstrate that a price increase would lead to the results of certain production sites deteriorating to the point of becoming negative. In particular, the method used to simulate the impact of a price increase on the Ebitda of the [Confidential] site is incorrect.</w:t>
      </w:r>
    </w:p>
    <w:p>
      <w:r>
        <w:t>239. Indeed, the simulation of the situation of this site following a price increase of [Confidential] products takes into account the reduction in production volume resulting from the price increase, but overlooks the essential and certain fact that the price increase allows for an increase in the variable cost margin rate. Indeed, the variable cost margin rate used in the notifying party's simulation is the same before and after the price increase of [Confidential] products. However, a price increase by a company has two opposing effects on its profit. The first is a volume effect: the price increase generally results in a loss of volumes, and thus of the margin realized on the lost volumes; this effect is well taken into account in the notifying party's analysis. The second is a price effect: the price increase implies an increase in the margin rate; the volumes that the company continues to sell therefore generate a larger margin; this effect is not taken into account by the notifying party. By only considering the volume effect, which discourages price increases, but not the price effect, which has the opposite consequence, the notifying party could incorrectly conclude that there is no incentive for the new entity to increase its prices.</w:t>
      </w:r>
    </w:p>
    <w:p>
      <w:r>
        <w:t>240. Furthermore, using the simulation of the operation carried out by the notifying party, the Competition Authority notes that the profit for [Confidential] is greater after the operation than before: the [Confidential] site should therefore enjoy a better financial situation after the operation.</w:t>
      </w:r>
    </w:p>
    <w:p>
      <w:r>
        <w:t>241. Consequently, the notifying party's argument that the sensitivity of the profitability of its factories to volumes excludes any price increase must be dismissed.</w:t>
      </w:r>
    </w:p>
    <w:p>
      <w:r>
        <w:t>b. On the disciplining nature of the competitive pressure exerted by competitors on the new entity</w:t>
      </w:r>
    </w:p>
    <w:p>
      <w:r>
        <w:t>(i) On the competition exerted by the actors currently present in the PCA market on the new entity (current competition)</w:t>
      </w:r>
    </w:p>
    <w:p>
      <w:r>
        <w:t>Position of the notifying party</w:t>
      </w:r>
    </w:p>
    <w:p>
      <w:r>
        <w:t>242. Despite the very strong position of the new entity in the markets affected by the operation, the notifying party believes that it will not have significant market power following the operation, given the ability of current competitors to respond to large retailers in the event of a price increase.</w:t>
      </w:r>
    </w:p>
    <w:p>
      <w:r>
        <w:t>243. The notifying party indeed considers that its competitors have available production capacities that will be able to discipline its competitive behavior.</w:t>
      </w:r>
    </w:p>
    <w:p>
      <w:r>
        <w:t>Assessment in the specific case</w:t>
      </w:r>
    </w:p>
    <w:p>
      <w:r>
        <w:t>- Available PCA production capacities in France</w:t>
      </w:r>
    </w:p>
    <w:p>
      <w:r>
        <w:t>244. The data below were obtained from the parties and competing operators to whom a questionnaire was sent. The Competition Authority estimates that at the national level, across all geographical origins of revenues, the available production capacities are currently around 26,000 tons for a PCA production volume of 161,000, or about 16%.</w:t>
      </w:r>
    </w:p>
    <w:p>
      <w:r>
        <w:t>245. The currently available production capacities for PCF in the national territory would amount to approximately […] tons, for a market whose annual volume was, in 2017, […] tons, of which […] tons were marketed by the new entity. The available production capacities of the new entity's competitors therefore represent about [40-50]% of its own production capacity.</w:t>
      </w:r>
    </w:p>
    <w:p>
      <w:r>
        <w:t>246. The currently available production capacities for PCI in the national territory would amount to approximately […] tons, for a market whose annual volume was, in 2017, […] tons, of which nearly […] tons were marketed by the new entity. The available production capacities of the new entity's competitors therefore represent about [0-5]% of its own production capacity.</w:t>
      </w:r>
    </w:p>
    <w:p>
      <w:r>
        <w:t>247. The currently available production capacities for PCE in the national territory would amount to […] tons, for a market whose annual volume was, in 2017, […] tons, of which […] tons were marketed by the new entity. The available production capacities of the new entity's competitors therefore represent about [20-30]% of its own production capacity.</w:t>
      </w:r>
    </w:p>
    <w:p>
      <w:r>
        <w:t>248. Available production capacities do exist, to a certain extent, for PCF, but are limited for PCE and almost nonexistent for PCI.</w:t>
      </w:r>
    </w:p>
    <w:p>
      <w:r>
        <w:t>249. It should finally be noted that PCA marketed under MDF and under MDD are produced on the same production lines. Consequently, the weakness of available production capacities for the manufacture of PCI and PCE makes the risk alleged by the notifying party that "large retailers could decide to push their own MDD to replace the national brands of the new entity" less credible. Furthermore, the assertion that large retailers could encourage the activities of other players who operate nationally recognized brands or who have a significant presence in MDD is not supported by any evidence in the file. The market test confirms that distributors generally do not intervene to encourage an operator to enter the PCA market. In particular, none of them indicated having participated, including financially, in such an entry over the past ten years.</w:t>
      </w:r>
    </w:p>
    <w:p>
      <w:r>
        <w:t>250. Consequently, the Competition Authority considers that PCF producers collectively have unused production capacities that represent nearly half of the new entity's production volumes. In contrast, PCI and PCE producers only have much more limited available production capacities. Moreover, no evidence gathered during the investigation suggests that production capacities would be likely to increase in the medium term. On the contrary, several of the operators interviewed highlighted the lack of profitability of capacity investments in a declining market.</w:t>
      </w:r>
    </w:p>
    <w:p>
      <w:r>
        <w:t>- Available PCA production capacities outside France</w:t>
      </w:r>
    </w:p>
    <w:p>
      <w:r>
        <w:t>251. The potential available production capacities of foreign operators currently active in the French market would not allow them to exert real competitive pressure on the new entity.</w:t>
      </w:r>
    </w:p>
    <w:p>
      <w:r>
        <w:t>252. Indeed, foreign operators only market limited volumes of PCA in France (on the order of […] tons of PCI according to the statements of the concerned operators, no PCE and PCF). The weakness of sales made by foreign operators in the French territory is notably explained by the existence of specific standards for the marketing of PCA, regardless of the geographical origin of the revenues.</w:t>
      </w:r>
    </w:p>
    <w:p>
      <w:r>
        <w:t>253. Representatives of the association of processed food companies (ADEPALE) stated: "Usage codes exist at the level of the union or the technical center for canned goods (CTCPA). […] To market products in France, even if you do not have a production unit in France, under your own brand or under MDD, you must comply with the specifications of the professional usage codes. If it is not respected, we can intervene or the DGCCRF can intervene."</w:t>
      </w:r>
    </w:p>
    <w:p>
      <w:r>
        <w:t>254. The practically binding nature of the CTCPA standards for operators active in the PCA market is evident from the statements of most of the distributors interviewed during the investigation.</w:t>
      </w:r>
    </w:p>
    <w:p>
      <w:r>
        <w:rPr>
          <w:b/>
        </w:rPr>
        <w:t>[Pages 46–48]</w:t>
      </w:r>
    </w:p>
    <w:p>
      <w:r>
        <w:t>l’instruction, as well as from the notifying party. The latter indeed indicated that “all operators wishing to market PCA in France must comply with the applicable regulations, including the decisions of the CTCPA.”</w:t>
      </w:r>
    </w:p>
    <w:p>
      <w:r>
        <w:t>255. These standards, specific to France, effectively restrict access for foreign operators to the French market. By the admission of ADEPALE: “Professional practices are particularly important for products that are very French, such as prepared meals. A foreigner wishing to sell in France but manufacturing abroad must comply with these practices. The control focuses on the significant deviation from the standard.”</w:t>
      </w:r>
    </w:p>
    <w:p>
      <w:r>
        <w:t>256. The difficulties caused by these standards are confirmed by the two foreign operators identified by the notifying party as competitors. GreenYard described the consequences of the CTCPA standards on the marketing of PCA in France by foreign operators: “In theory, PCA manufactured in the territory of other EU Member States, compliant with European regulations, can be sold under MDD or MDF brands. But […] GMS requires that their products comply with CTCPA standards = refusal to purchase by GMS.” SAC also confirmed that products intended for the French market must comply with the decisions of the CTCPA and stated that “the market for prepared meals in France has always been closed to foreign operators. This operation will not change the already existing situation in the past.”</w:t>
      </w:r>
    </w:p>
    <w:p>
      <w:r>
        <w:t>257. The difficulties of market access for foreign operators are finally confirmed by French competitors and distributors who do not work, or work very little, with foreign operators.</w:t>
      </w:r>
    </w:p>
    <w:p>
      <w:r>
        <w:t>258. Aldi, for example, indicated: “[o]ur purchasing policy for this type of product [namely PCA and microwaveable trays] is limited to French suppliers.” Système U also stated: “We do not have PCA or MDD trays manufactured outside France. However, for MDD products if they were manufactured outside France, we would require them to comply with our brand requirements based on CTCPA standards.”</w:t>
      </w:r>
    </w:p>
    <w:p>
      <w:r>
        <w:t>259. Thus, the application of CTCPA standards makes the French PCA market poorly permeable to products from foreign operators.</w:t>
      </w:r>
    </w:p>
    <w:p>
      <w:r>
        <w:t>260. Finally, the difficulties faced by foreign operators in penetrating the national market are not solely related to CTCPA standards. Indeed, other regulatory or commercial requirements also complicate market access for foreign operators, such as the composition of containers and the origin of ingredients. One operator indicated that “the implementation of decree no. 2016-1137 on the Indication of the origin of meat and milk as an ingredient has forced operators (MDD and MDF) to indicate the origins of meats. This regulatory obligation to indicate origin has led market operators to choose French origin to meet consumer expectations. It is clear that the requirement for ‘French origin’ forces distributors to work with French manufacturers.”</w:t>
      </w:r>
    </w:p>
    <w:p>
      <w:r>
        <w:t>261. Consequently, foreign operators do not constitute a source of competitive pressure capable of disciplining the new entity, due to the lack of easy access to the French market. Regulatory constraints (CTCPA standards) and commercial constraints (specifications of large distribution tenders) indeed create significant barriers to entry for these operators.</w:t>
      </w:r>
    </w:p>
    <w:p>
      <w:r>
        <w:t>262. Furthermore, SAC indicated that it did not have available production capacities that could be used to manufacture PCI intended for marketing in French territory.</w:t>
      </w:r>
    </w:p>
    <w:p>
      <w:r>
        <w:t>263. Given all these elements, foreign operators currently active in France are unlikely to exert sufficient competitive pressure to discipline the competitive behavior of the new entity.</w:t>
      </w:r>
    </w:p>
    <w:p>
      <w:r>
        <w:t>(ii) On the competitive pressure exerted by potential competitors on the new entity (potential competition)</w:t>
      </w:r>
    </w:p>
    <w:p>
      <w:r>
        <w:t>Position of the notifying party</w:t>
      </w:r>
    </w:p>
    <w:p>
      <w:r>
        <w:t>264. The notifying party considers that the new entity will be constrained by competitive pressure from operators likely to enter the French PCA market, particularly French ones, especially given what it considers to be the weakness of its barriers to entry. It considers among other things that the constraints to shift from PCA production to the production of canned cooked vegetables or fresh or frozen prepared meals are very low, which would allow, according to it, operators present in these two related markets to easily penetrate the PCA market.</w:t>
      </w:r>
    </w:p>
    <w:p>
      <w:r>
        <w:t>Assessment in the specific case</w:t>
      </w:r>
    </w:p>
    <w:p>
      <w:r>
        <w:t>265. Firstly, as analyzed in paragraphs 251 and following, there are access difficulties in the PCA markets that are likely to eliminate any significant and lasting competitive pressure exerted by foreign operators on the new entity.</w:t>
      </w:r>
    </w:p>
    <w:p>
      <w:r>
        <w:t>266. Secondly, the hypothesis of a rapid entry and at a sufficient scale of new French operators, active in related markets, into the PCA markets must be dismissed.</w:t>
      </w:r>
    </w:p>
    <w:p>
      <w:r>
        <w:t>267. Almost all distributors indicated that they had not observed any entry into the PCA sector over the past ten years. This is explained, according to them, by the low added value of the sector, its mature and not very “modern” nature, as well as the low alignment of the PCA market with new consumption trends. Two distributors also mentioned the extent of the industrial investments necessary to penetrate the market. The absence of recent entry by new operators has been confirmed by almost all competitors due to, in particular, significant financial barriers to entry, such as the high costs of building a production plant.</w:t>
      </w:r>
    </w:p>
    <w:p>
      <w:r>
        <w:t>268. Furthermore, the entry into the PCA sector of operators active in the markets for fresh and frozen prepared meals has not been confirmed by the investigation. With the exception of Marie Surgelés (see below, paragraph 270), all operators in the fresh and frozen products markets that responded to the market test dismissed the hypothesis of entry into the PCA markets, including in the event of a price increase observed in these markets, given on the one hand the difference in image between their products and those marketed by the parties, and on the other hand the extent of the investments necessary to penetrate this sector.</w:t>
      </w:r>
    </w:p>
    <w:p>
      <w:r>
        <w:t>269. For example, when specifically asked about the minimum price increase of PCA that would make its entry into the market possible, Fleury Michon stated: “It’s not a price problem, it’s not the strategy of the group that manufactures fresh and is rather moving towards ultra-fresh. Products in line with our mission ‘to help people eat better every day.’”</w:t>
      </w:r>
    </w:p>
    <w:p>
      <w:r>
        <w:t>270. The statements of Marie Surgelés go in the same direction. It indicated that it would not consider entering the PCA market in the event of a price increase of 5 to 10%, a threshold taken into account in the context of the hypothetical monopolist test, since: “This type of product is not our business. Our products are not in the same aisles. Consumption habits are not the same. The sales force is not the same. The industrial equipment is not either. Finally, it is a market that is too undervalued.” However, it specifies that only a price increase of around 40 to 50% could potentially lead it to consider the question of such entry into the market.</w:t>
      </w:r>
    </w:p>
    <w:p>
      <w:r>
        <w:t>271. Consequently, the notifying party's argument that operators active in the markets for fresh and frozen prepared meals constitute potential competitors is not relevant in this case, regardless of the geographical origin of the recipes.</w:t>
      </w:r>
    </w:p>
    <w:p>
      <w:r>
        <w:t>272. Regarding operators active in the canned vegetable market, the main MDF operators in the sector are D’Aucy and Bonduelle.</w:t>
      </w:r>
    </w:p>
    <w:p>
      <w:r>
        <w:t>273. The elements provided by Bonduelle dismiss the hypothesis of its entry into the PCA market. Indeed, in response to the question “what would be the minimum price increase of PCA that would make your entry into the PCA market possible?”, this company answered “none.” Bonduelle cannot therefore be considered, in this case, as a potential entrant.</w:t>
      </w:r>
    </w:p>
    <w:p>
      <w:r>
        <w:t>274. As for D’Aucy, already active in the PCA markets, its very small market share in the potential MDF segment of the various PCA markets ([0-5]%) attests to the difficulty for an operator to transfer its brand image from one market (in this case, that of canned vegetables) to another (in this case, that of PCA).</w:t>
      </w:r>
    </w:p>
    <w:p>
      <w:r>
        <w:t>275. In any case, the regulatory difficulties of market access, combined with the importance of brands in the PCA market, make the entry of operators active in the canned vegetable market into the PCA market, particularly for potential operators active solely as MDD operators, not credible.</w:t>
      </w:r>
    </w:p>
    <w:p>
      <w:r>
        <w:t>276. Consequently, there are no potential entrants in the PCA market that would be capable of disciplining the competitive behavior of the new entity.</w:t>
      </w:r>
    </w:p>
    <w:p>
      <w:r>
        <w:t>c. On the counter-power of large distribution</w:t>
      </w:r>
    </w:p>
    <w:p>
      <w:r>
        <w:t>277. When analyzing the non-coordinated effects of a horizontal operation, the Competition Authority analyzes the purchasing power of the customers of the new entity.</w:t>
      </w:r>
    </w:p>
    <w:p>
      <w:r>
        <w:t>278. The aforementioned guidelines specifically address the assessment of the purchasing power of large distribution brands in relation to their suppliers. They specify, in paragraph 431, that: “[t]he exercise of counter-power by distributors vis-à-vis their suppliers is not […] absolute. […] Demand counter-power exists only to the extent that it is able to threaten to turn, within a reasonable time, to alternative sources of supply if the supplier decides to raise its prices.”</w:t>
      </w:r>
    </w:p>
    <w:p>
      <w:r>
        <w:t>(i) Position of the notifying party</w:t>
      </w:r>
    </w:p>
    <w:p>
      <w:r>
        <w:t>279. The notifying party believes that, regardless of its position in the markets, the operation is not likely to produce a competition problem in that the new entity will have no market power given the significant size of its customers.</w:t>
      </w:r>
    </w:p>
    <w:p>
      <w:r>
        <w:rPr>
          <w:b/>
        </w:rPr>
        <w:t>[Pages 49–51]</w:t>
      </w:r>
    </w:p>
    <w:p>
      <w:r>
        <w:t>porter atteinte à la concurrence sur les marchés concernés.</w:t>
      </w:r>
    </w:p>
    <w:p>
      <w:r>
        <w:t>298. Dans ce cadre, la partie notifiante a engagé des négociations commerciales avec les distributeurs pour l'année 2018, qui se sont déroulées sous l'œil attentif de l'Autorité de la concurrence. Les résultats de ces négociations sont révélateurs de la dynamique de marché et des relations entre la nouvelle entité et ses clients.</w:t>
      </w:r>
    </w:p>
    <w:p>
      <w:r>
        <w:t>299. Les distributeurs ont exprimé des préoccupations quant à la position de la nouvelle entité sur le marché, ce qui a conduit à des discussions sur les conditions commerciales, notamment les prix et les volumes. Les réponses des distributeurs au test de marché indiquent qu'ils sont conscients de la dépendance de la nouvelle entité à leur égard, mais ils ont également souligné leur volonté de négocier des conditions favorables.</w:t>
      </w:r>
    </w:p>
    <w:p>
      <w:r>
        <w:t>300. En conséquence, les négociations commerciales de 2018 ont été marquées par une certaine tension, les distributeurs cherchant à obtenir des concessions tout en reconnaissant l'importance des produits de la nouvelle entité dans leurs assortiments.</w:t>
      </w:r>
    </w:p>
    <w:p>
      <w:r>
        <w:t>301. Il est donc essentiel de prendre en compte ces éléments dans l'évaluation de la position de la nouvelle entité sur le marché et des effets potentiels de l'opération sur la concurrence. Les résultats des négociations commerciales de 2018 montrent que, malgré la position dominante de la nouvelle entité, les distributeurs disposent d'un certain pouvoir de négociation, ce qui pourrait tempérer les effets anticoncurrentiels de l'opération.</w:t>
      </w:r>
    </w:p>
    <w:p>
      <w:r>
        <w:t>302. En conclusion, l'analyse des négociations commerciales et des relations entre la nouvelle entité et les distributeurs pour l'année 2018 met en lumière la complexité de la dynamique de marché et souligne l'importance d'une évaluation approfondie des effets de l'opération sur la concurrence.</w:t>
      </w:r>
    </w:p>
    <w:p>
      <w:r>
        <w:rPr>
          <w:b/>
        </w:rPr>
        <w:t>[Pages 52–54]</w:t>
      </w:r>
    </w:p>
    <w:p>
      <w:r>
        <w:t>rendre l’opération irréversible. En particulier, selon les éléments communiqués par la partie notifiante, l’autonomie commerciale de la cible et de l’acquéreur ont été maintenues. En conséquence, les négociations avec les enseignes de la grande distribution ont été organisées de manière séparée. Il n’en demeure pas moins que celles-ci ont eu lieu postérieurement à la date de la décision du tribunal de commerce de Paris arrêtant la cession de la cible à Cofigeo, laquelle était connue des distributeurs. Ces derniers étaient donc conscients de négocier avec deux entités commerciales appartenant à un ensemble commun et appelées à se rapprocher à brève échéance si l’opération était autorisée par l’Autorité de la concurrence.</w:t>
      </w:r>
    </w:p>
    <w:p>
      <w:r>
        <w:t>298. Or, à l’issue de ce premier cycle de négociation, les éléments remis par la partie notifiante montrent que les parties ont obtenu une revalorisation de leurs prix triple net [Confidentiel]. Selon les déclarations de deux distributeurs (Auchan et Carrefour), ces évolutions tarifaires constituent une exception compte tenu de leur importance par rapport à celles obtenues par les autres opérateurs du secteur des PCA lors du même cycle de négociation.</w:t>
      </w:r>
    </w:p>
    <w:p>
      <w:r>
        <w:t>299. L’impossibilité alléguée par la nouvelle entité de parvenir à compenser, lors de ce cycle de négociations, l’ensemble de ses hausses de coûts de matières premières n’est pas suffisante pour remettre en cause l’ampleur et la singularité des hausses de prix qu’elle a négociées, puisque, d’une part, ces hausses affectent également les concurrents et, d’autre part, elles étaient déjà évoquées dans les documents internes des parties portant sur les négociations des années antérieures pour tenter d’obtenir des hausses de prix auprès des GMS, sans conduire au même résultat.</w:t>
      </w:r>
    </w:p>
    <w:p>
      <w:r>
        <w:t>300. À cet égard, selon des données publiques de l’Association nationale des industries alimentaires, seules 37 % des entreprises interrogées ont obtenu pour l’année 2018 une revalorisation de leurs prix triple nets, de l’ordre de 1,5 %, malgré une hausse du prix des matières premières agricoles estimées à 12 % en 2017. Les représentants de l’ADEPALE ont également indiqué que : « Les fabricants estiment qu’ils n’obtiennent pas la revalorisation des hausses des matières premières qui ont été subies. Pour des métiers comme le poisson et le fruit qui ont des problèmes spécifiques d’approvisionnement (approvisionnement en pomme pour les fruits et raréfaction de la matière première pour les poissons), ces opérateurs n’ont pas réussi à répercuter les hausses de prix des matières premières. […] C’est un sentiment que nous avons pour tous nos adhérents. »</w:t>
      </w:r>
    </w:p>
    <w:p>
      <w:r>
        <w:t>301. Quant aux fluctuations de l’assortiment des PCA dans les rayons des GMS, les éléments communiqués par la partie notifiante montrent qu’elles résultent, en général, d’un écart entre le nombre de nouveaux produits référencés par les enseignes et le nombre de produits supprimés de l’assortiment. Ainsi, tandis que certaines négociations ont conduit à une réduction du périmètre de l’assortiment proposé par les parties, allant jusqu’à une diminution nette du nombre de produits référencés par [Confidentiel] de [Confidentiel] références, d’autres ont, au contraire, abouti à une hausse du nombre de produits commercialisés par la cible ou l’acquéreur référencés par certaines enseignes, à l’instar de [Confidentiel] qui a référencé [Confidentiel] nouveaux produits de Cofigeo, [Confidentiel].</w:t>
      </w:r>
    </w:p>
    <w:p>
      <w:r>
        <w:t>302. En conséquence, ces évolutions d’assortiment semblent davantage découler en l’espèce de choix commerciaux des enseignes, liés à l’attractivité et à la performance plus ou moins grande des produits commercialisés par la cible ou par l’acquéreur, que de mesures de rétorsion en réaction à des tentatives d’augmentation de prix des parties. À cet égard, les pertes de volume générées par les seuls déréférencements subis par l’acquéreur pour l’année 2018, sans tenir compte du référencement de nouveaux produits, communiquées par la partie notifiante sont, pour l’essentiel, cohérentes avec l’évolution du marché des PCA depuis le début de l’année 2018.</w:t>
      </w:r>
    </w:p>
    <w:p>
      <w:r>
        <w:t>303. En conséquence, les clients de la nouvelle entité n’ont pas tiré profit du cycle de négociation commerciale pour l’année 2018. Au contraire, la situation de Cofigeo s’est sensiblement améliorée par rapport aux deux années précédentes, au cours desquelles il avait des difficultés à maintenir ses prix de vente.</w:t>
      </w:r>
    </w:p>
    <w:p>
      <w:r>
        <w:t>(iii) Conclusion sur le contre-pouvoir de la grande distribution</w:t>
      </w:r>
    </w:p>
    <w:p>
      <w:r>
        <w:t>304. Compte tenu de l’ensemble des éléments qui viennent d’être exposés, l’Autorité de la concurrence estime que le comportement concurrentiel de la nouvelle entité ne sera pas suffisamment discipliné par la puissance d’achat de ses clients.</w:t>
      </w:r>
    </w:p>
    <w:p>
      <w:r>
        <w:t>B. EFFETS HORIZONTAUX GENERES PAR L’OPERATION SUR D’AUTRES MARCHES</w:t>
      </w:r>
    </w:p>
    <w:p>
      <w:r>
        <w:t>1. La fabrication et la commercialisation de PCA conditionnés en barquettes micro-ondables aux GMS</w:t>
      </w:r>
    </w:p>
    <w:p>
      <w:r>
        <w:t>305. Le tableau ci-dessous présente les positions de la nouvelle entité et de ses principaux concurrents sur les marchés des MO :</w:t>
      </w:r>
    </w:p>
    <w:p>
      <w:r>
        <w:t>Segment des MO Segment des MO</w:t>
        <w:br/>
        <w:t>Marché des MO (MDD+MDF) commercialisés sous MDF commercialisés sous MDD</w:t>
        <w:br/>
        <w:t>Cofigeo [10-20] % [10-20] % [20-30] %</w:t>
        <w:br/>
        <w:t>Cible [30-40] % [40-50] % [20-30] %</w:t>
        <w:br/>
        <w:t>Nouvelle [50-60] % [50-60] % [40-50] %</w:t>
        <w:br/>
        <w:t>entité</w:t>
        <w:br/>
        <w:t>Gendreau [10-20] % [10-20] % [20-30] %</w:t>
        <w:br/>
        <w:t>D’Aucy [10-20] % [10-20] % [20-30] %</w:t>
        <w:br/>
        <w:t>LBC [5-10] % [5-10] % [5-10] %</w:t>
        <w:br/>
        <w:t>Covi [0-5] % [0-5] % [5-10] %</w:t>
        <w:br/>
        <w:t>Autres [0-5] % [0-5] % [0-5] %</w:t>
      </w:r>
    </w:p>
    <w:p>
      <w:r>
        <w:t>306. L’opération conduira à un renforcement de la position de Cofigeo sur le marché des PCA conditionnés en MO puisque la nouvelle entité sera leader du marché, quelles que soient les hypothèses de segmentation retenues.</w:t>
      </w:r>
    </w:p>
    <w:p>
      <w:r>
        <w:t>307. Toutefois, sur les différents marchés envisagés, la nouvelle entité sera confrontée à la concurrence de plusieurs opérateurs crédibles, de dimension nationale, notamment Gendreau ([20-30] % sur le marché global) et D’Aucy ([10-20] %). À cet égard, la plupart des concurrents ayant répondu au test de marché ont indiqué que, sur ces marchés, l’opération n’est pas de nature à entraver leur accès au marché français de la fabrication et de la commercialisation des PCA conditionnés en MO et que les clients pourraient se reporter vers leurs produits en cas de hausse de prix décidée par la nouvelle entité.</w:t>
      </w:r>
    </w:p>
    <w:p>
      <w:r>
        <w:t>308. Cette analyse est confirmée par le test de marché réalisé auprès des distributeurs, qui ont majoritairement répondu que l’opération ne conduirait qu’à une faible réduction de la concurrence sur ce marché. Ceci tient, selon Carrefour, Cora et Casino, au faible poids de Cofigeo sur ce marché avant l’opération et à la présence d’autres opérateurs sur le marché. En particulier, selon eux, l’opération ne permettra pas à la nouvelle entité d’augmenter ses prix à court terme. Ainsi, l’une des enseignes interrogées a indiqué qu’un tel comportement placerait la nouvelle entité dans une situation complexe puisqu’elle l’exposerait au risque d’avoir une offre « peu compétitive par rapport à ses concurrents ».</w:t>
      </w:r>
    </w:p>
    <w:p>
      <w:r>
        <w:t>309. L’opération n’est donc pas de nature à générer des problèmes de concurrence de nature horizontale sur le marché de la fabrication et de la commercialisation de PCA conditionnés en MO, quelle que soit la segmentation retenue.</w:t>
      </w:r>
    </w:p>
    <w:p>
      <w:r>
        <w:t>2. La fabrication et la commercialisation de PCA à la RHF</w:t>
      </w:r>
    </w:p>
    <w:p>
      <w:r>
        <w:t>310. Sur ce marché, la nouvelle entité disposera d’une position inférieure à [20-30] %, Cofigeo ne détenant, avant l’opération, qu’une part de marché inférieure à [0-5] %. Sur d’éventuels segments de la commercialisation de PCA aux clients grands comptes d’une part, et aux clients de taille plus réduite d’autre part, si la part de marché de la nouvelle entité est susceptible de dépasser [20-30] %, l’opération donnera lieu à un incrément inférieur à [0-5] points, compte tenu de la présence marginale de Cofigeo sur ce marché. Par ailleurs, la partie notifiante a indiqué que Cofigeo a décidé de sortir de ce marché et cessera toute livraison à la fin du deuxième trimestre 2018.</w:t>
      </w:r>
    </w:p>
    <w:p>
      <w:r>
        <w:t>311. En conséquence, l’opération n’est pas de nature à générer de problèmes de concurrence sur ce marché.</w:t>
      </w:r>
    </w:p>
    <w:p>
      <w:r>
        <w:t>3. La fabrication et la commercialisation de pâtés et de préparations diverses à base de porc aux GMS</w:t>
      </w:r>
    </w:p>
    <w:p>
      <w:r>
        <w:t>312. La nouvelle entité disposera, selon les estimations fournies par la partie notifiante, d’une part de marché de [5-10] % (Cofigeo : [0-5] % ; la cible : [0-5] %). En outre, sur ce marché, la nouvelle entité sera confrontée à la concurrence de nombreux opérateurs, dont certains, comme Henaff, disposent d’une part de marché importante.</w:t>
      </w:r>
    </w:p>
    <w:p>
      <w:r>
        <w:t>313. En conséquence, l’opération n’est pas de nature à générer de problèmes de concurrence sur ce marché.</w:t>
      </w:r>
    </w:p>
    <w:p>
      <w:r>
        <w:t>C. EFFETS CONGLOMERAUX</w:t>
      </w:r>
    </w:p>
    <w:p>
      <w:r>
        <w:t>314. Une concentration est susceptible de produire des effets congloméraux lorsque la nouvelle entité étend ou renforce sa présence sur plusieurs marchés dont la connexité peut lui permettre d’accroître son pouvoir de marché, en verrouillant l’accès au marché lié ou en en évincant les concurrents.</w:t>
      </w:r>
    </w:p>
    <w:p>
      <w:r>
        <w:t>315. L’Autorité de la concurrence considère qu’il est peu probable qu’une entreprise ayant une part de marché inférieure à 30 % sur un marché donné puisse verrouiller un marché connexe. Si ce seuil est franchi, elle examine si l’entité issue de la fusion aurait (i) la capacité de verrouiller ce marché connexe, (ii) l’incitation à adopter une telle stratégie et (iii) si cette dernière est susceptible de porter atteinte de manière significative à la concurrence sur les marchés concernés par ces ventes couplées.</w:t>
      </w:r>
    </w:p>
    <w:p>
      <w:r>
        <w:t>316. En l’espèce, à l’issue de l’opération, sur le marché des PCA commercialisés en GMS (MDD et MDF confondus), la nouvelle entité disposera d’une part de marché de [80-90] % sur le segment des PCI et de [70-80] % sur celui des PCE. Elle concentrera par ailleurs l’intégralité des marques notoires sur chacun de ces segments et ne sera confrontée à la concurrence d’aucun opérateur significatif.</w:t>
      </w:r>
    </w:p>
    <w:p>
      <w:r>
        <w:rPr>
          <w:b/>
        </w:rPr>
        <w:t>[Pages 55–57]</w:t>
      </w:r>
    </w:p>
    <w:p>
      <w:r>
        <w:t>317. Given the difference in marketing methods between MDF and MDD (negotiations conducted directly for MDF, versus tenders for lots for MDD), the ability of the new entity to derive a conglomerate advantage from this position in the MDD segments of these different markets is not established.</w:t>
      </w:r>
    </w:p>
    <w:p>
      <w:r>
        <w:t>318. On the other hand, it is necessary to analyze the risks of conglomerate effects in the segment of PCF marketed under MDF, as well as in the market for PCA packaged in microwaveable trays. The existence of such risks will also be analyzed in other markets in which the new entity is active, namely the manufacturing and marketing of canned vegetables, hot sauces, and pâtés in GMS.</w:t>
      </w:r>
    </w:p>
    <w:p>
      <w:r>
        <w:t>319. Almost all products marketed under MDF by the new entity are integrated into a single contract, as evidenced by the parties' "general tariffs." Commercial negotiations for almost all products of the new entity are conducted by a single buyer within each retail chain.</w:t>
      </w:r>
    </w:p>
    <w:p>
      <w:r>
        <w:t>320. Only hot sauces are marketed under a separate commercial contract. However, the buyer from the large distribution sector – although distinct – is generally linked to the same entity at the clients of the new entity (the "grocery" section), and several elements attest to the existence of links between negotiations on hot sauces and on other products of the new entity. Thus, representatives of Cofigeo stated during the investigation: [Confidential]</w:t>
      </w:r>
    </w:p>
    <w:p>
      <w:r>
        <w:t>321. The distributors who provided information on this point stated that Cofigeo will benefit from an "essential product range" following the operation. Almost all of them believe that the new entity will gain a significant competitive advantage due to its simultaneous presence in the markets for PCA packaged in cans and jars and in the market for PCA packaged in microwaveable trays. The strong position of the new entity and its ability to leverage will be reinforced by the fact that it will hold, following the operation, all well-known brands in the markets for PCI and PCE packaged in cans and jars. Furthermore, contrary to what the notifying party claims, the existence of alternative operators to the new entity for PCF and microwaveable trays is not likely to undermine its ability to use its position in the PCI and PCE markets during commercial negotiations regarding the PCF and microwaveable trays it markets. Indeed, the analysis of the conglomerate effects of an operation is based on the position of the new entity in the tying market, in this case, the markets for PCI and PCE, and not on any potential related markets.</w:t>
      </w:r>
    </w:p>
    <w:p>
      <w:r>
        <w:t>322. Thus, following the operation, the new entity will be able to tie its commercial negotiations in the PCI and PCE markets with those relating, on the one hand, to PCF packaged in cans and jars marketed under MDF and, on the other hand, to products related to the PCA sector marketed by the new entity (namely, microwaveable trays marketed under MDF, canned vegetables, pork and beef pâtés, and hot sauces marketed in GMS).</w:t>
      </w:r>
    </w:p>
    <w:p>
      <w:r>
        <w:t>323. Regarding the incentive to adopt such a strategy, it can be noted that Cofigeo [Confidential]. Furthermore, several distributors confirmed that the new entity would be incentivized to offer [Confidential] in the context of its negotiations concerning products marketed under MDF. Contrary to what the notifying party claims, large distribution will not be able to counteract such behavior, particularly given the lack of credible alternatives to the products of the new entity in the PCI and PCE markets and its interest in benefiting from such discounts.</w:t>
      </w:r>
    </w:p>
    <w:p>
      <w:r>
        <w:t>324. The effects of such a strategy must, however, be distinguished according to the markets or market segments on which they are likely to occur (related markets).</w:t>
      </w:r>
    </w:p>
    <w:p>
      <w:r>
        <w:t>325. Regarding the markets related to the market for PCA sold in GMS (canned vegetables, hot sauces, and pâtés), the new entity will face competition from other significant operators, also active in several markets (for example, Panzani in the hot sauces market, Bonduelle in the canned vegetables market, Fleury Michon in the pâtés market), each holding well-known brands in their respective markets. Consequently, any tying sales strategy between the new entity's activity in the PCI and PCE segments marketed under MDF on the one hand, and its activities in one of these markets on the other hand, would be thwarted by the weight of other operators active in these markets, who themselves have a conglomerate dimension and hold well-known brands.</w:t>
      </w:r>
    </w:p>
    <w:p>
      <w:r>
        <w:t>326. Therefore, the risk of conglomerate effects in these markets can be ruled out, as the new entity does not have a non-replicable position in these related markets: its competitors will also be able to leverage a conglomerate effect between their different activities.</w:t>
      </w:r>
    </w:p>
    <w:p>
      <w:r>
        <w:t>327. In contrast, across all segments of the PCA markets marketed in GMS under MDF, regardless of their packaging, the new entity will hold a significant position and will not face competition from comparable operators, nor from operators capable of implementing a conglomerate strategy equivalent to its own. It will therefore be able to couple the sales of PCA packaged in cans and jars, in the PCI and PCE markets, with those of PCF packaged in cans and jars, as well as in microwaveable trays, allowing it to strengthen its position in these last two markets.</w:t>
      </w:r>
    </w:p>
    <w:p>
      <w:r>
        <w:t>328. The effects of such a strategy will be all the more significant as large distribution will be weakly incentivized to challenge it. Indeed, GMS will benefit, at least initially, from the advantages granted by the new entity in the form of discounts and rebates linked to the purchase of PCF packaged in cans and jars and PCA packaged in microwaveable trays from the new entity.</w:t>
      </w:r>
    </w:p>
    <w:p>
      <w:r>
        <w:t>329. Consequently, in addition to the horizontal effects on the PCI and PCE segments, the notified operation is likely to generate anti-competitive conglomerate effects in the segment of PCF marketed in GMS under MDF and in the market for microwaveable trays under MDF.</w:t>
      </w:r>
    </w:p>
    <w:p>
      <w:r>
        <w:t>D. CONCLUSION OF THE COMPETITIVE ANALYSIS</w:t>
      </w:r>
    </w:p>
    <w:p>
      <w:r>
        <w:t>330. It follows from the above that the operation is likely to produce substantial horizontal effects in the markets for the manufacturing and marketing of PCI and PCE packaged in cans and jars.</w:t>
      </w:r>
    </w:p>
    <w:p>
      <w:r>
        <w:t>331. In these markets, the operation indeed leads to the concentration of all well-known brands within the new entity and will confer to the new entity a quasi-monopolistic position. Furthermore, given the competitive proximity of the parties before the operation, the quantitative estimation of the price effects of the concentration, and the absence of countervailing power capable of disciplining the competitive behavior of the new entity, the operation is likely to significantly reduce competition in these markets.</w:t>
      </w:r>
    </w:p>
    <w:p>
      <w:r>
        <w:t>332. In contrast, the competitive analysis conducted by the Competition Authority leads to ruling out the existence of horizontal effects generated by the operation in the market for PCF packaged in cans and jars.</w:t>
      </w:r>
    </w:p>
    <w:p>
      <w:r>
        <w:t>333. Indeed, the analysis of the position of the new entity in this market shows that the new entity will not be a leader in the segment of PCF marketed under MDD, in which it will hold [30-40]% market share behind D’Aucy (with [50-60]% market share). Moreover, in the overall market for PCF, it will face several operators active in the MDF segment. Even if the difficulties of access to the PCA markets also concern the market for PCF, the competitors active in this market hold unused production capacities (production capacities representing nearly half of the production of the new entity, spread across several operators) that would allow the clients of the new entity to switch, at least partially, to alternative operators in the event of excessive price increases for PCF, not only in MDF but, a fortiori, in MDD.</w:t>
      </w:r>
    </w:p>
    <w:p>
      <w:r>
        <w:t>334. Finally, the new entity will be able to use its position in the PCI and PCE markets to strengthen its position in these related markets, with the risk of becoming essential and driving out its competitors. The operation is therefore likely to generate conglomerate effects between the different markets of PCA packaged in cans and jars and between these markets and that of PCA packaged in microwaveable trays.</w:t>
      </w:r>
    </w:p>
    <w:p>
      <w:r>
        <w:t>IV. Contributions to Economic Progress</w:t>
      </w:r>
    </w:p>
    <w:p>
      <w:r>
        <w:t>335. In accordance with the provisions of Article L. 430-6 of the Commercial Code, when the Competition Authority conducts a thorough examination of a concentration operation, it "assesses whether the operation provides a sufficient contribution to economic progress to compensate for the harm to competition."</w:t>
      </w:r>
    </w:p>
    <w:p>
      <w:r>
        <w:t>336. Both the Council of State and the competition authorities have established strict criteria for assessing the contribution of the operation to economic progress. Thus, the alleged efficiency gains must be quantifiable and verifiable (i), specific to the concentration (ii), and a portion of the gains must be passed on to consumers, which excludes gains that benefit only the parties to the operation (iii). It is up to the parties wishing to assert efficiency gains to submit a substantiated and quantified argument demonstrating that the economic efficiency gains of</w:t>
      </w:r>
    </w:p>
    <w:p>
      <w:r>
        <w:rPr>
          <w:b/>
        </w:rPr>
        <w:t>[Pages 58–60]</w:t>
      </w:r>
    </w:p>
    <w:p>
      <w:r>
        <w:t>l’opération sont susceptibles de contrebalancer ses effets anticoncurrentiels, et de fournir tous les éléments de preuve utiles pour soutenir cette démonstration.</w:t>
      </w:r>
    </w:p>
    <w:p>
      <w:r>
        <w:t>337. In this case, the notifying party submitted an estimate of the efficiency gains generated by the operation. It indicates that the operation will notably allow for synergies in purchasing, production, commercial and marketing strategy, and IT, which it estimates at [&lt;15] million euros. These gains would arise, according to it, from the similar nature of the parties' activities. The operation would also be necessary to strengthen its capacity for innovation, through the refurbishment of production tools, better performance of its factories, and enhanced communication about the products of the new entity, allowing it to attract new consumers. The notifying party believes that "the efficiency gains from the operation will be [...] passed on to the consumer," as they will allow consumers to have an alternative to fresh prepared meals, at competitive prices, and under less restrictive storage conditions. It notably states that "the new entity will have no choice but to offer significant innovations in this market," as they constitute a sine qua non condition for the survival of the new entity's activity and the PCA shelf in its current configuration.</w:t>
      </w:r>
    </w:p>
    <w:p>
      <w:r>
        <w:t>338. However, the elements communicated by the notifying party cannot be considered sufficient to definitively establish the existence and extent of the efficiency gains mentioned. Indeed, they are primarily based on partial data, gathered during the asset sale process of the Agripole group, not updated since the first half of 2017. For example, the main study provided was conducted in the first half of 2017 [Confidential].</w:t>
      </w:r>
    </w:p>
    <w:p>
      <w:r>
        <w:t>339. No other detailed document capable of corroborating the assumptions used to prepare the business plan mentioned in this study, and thus ultimately the alleged efficiency gains, has been submitted by the notifying party. Representatives of Cofigeo notably indicated during their hearing: "These figures come from the first study by 8 advisory, made with the first available data in the data room. [Confidential]. We are in the process of updating these conclusions. [Confidential]. We are in the process of redoing the overall estimate of these efficiency gains. But we believe that we will keep the same order of magnitude."</w:t>
      </w:r>
    </w:p>
    <w:p>
      <w:r>
        <w:t>340. These statements reflect the extremely preliminary and, therefore, uncertain nature of the elements communicated on this point by the notifying party.</w:t>
      </w:r>
    </w:p>
    <w:p>
      <w:r>
        <w:t>341. Furthermore, the specific nature of certain efficiency gains alleged by the notifying party is questionable. In particular, among the efficiency gains related to innovation highlighted by Cofigeo, several product innovations are comparable to those that have already been proposed ([Confidential]) or considered ([Confidential]) by Cofigeo prior to the completion of the operation.</w:t>
      </w:r>
    </w:p>
    <w:p>
      <w:r>
        <w:t>342. Finally, the likelihood and extent of the pass-through of efficiency gains to consumers are uncertain, given the post-operation competitive situation.</w:t>
      </w:r>
    </w:p>
    <w:p>
      <w:r>
        <w:t>343. In particular, in the absence of elements capable of disciplining the new entity once the operation is completed, the operation will lead to a significant reduction in competition in the various PCI and PCE markets due to the horizontal effects generated by the operation. In particular, due to the lack of sufficiently credible alternatives for distributors in the short term to the products marketed by the new entity, their ability to constrain the competitive behavior of the new entity will necessarily be limited.</w:t>
      </w:r>
    </w:p>
    <w:p>
      <w:r>
        <w:t>344. In this regard, it appears from the elements communicated by the notifying party that the two sources of efficiency gains related to variable costs, [Confidential], would result in an increase in the variable cost margin ("VCM") by the exact amount of these synergies. The documents submitted by the notifying party therefore lead to a significant qualification of the possibility of passing these gains on to consumers.</w:t>
      </w:r>
    </w:p>
    <w:p>
      <w:r>
        <w:t>345. In any case, as seen in paragraph 220, assuming they are established, the efficiency gains communicated by the notifying party only slightly modify the effects of the operation on the prices of PCI and PCE.</w:t>
      </w:r>
    </w:p>
    <w:p>
      <w:r>
        <w:t>346. Given all the preceding elements, the Competition Authority considers that the notifying party has not demonstrated that the notified operation is likely to generate efficiency gains capable of offsetting the effects of the operation.</w:t>
      </w:r>
    </w:p>
    <w:p>
      <w:r>
        <w:t>V. The failing firm defense</w:t>
      </w:r>
    </w:p>
    <w:p>
      <w:r>
        <w:t>347. The notifying party considers that the so-called "failing firm" defense should apply in this case, so that the proposed operation should be authorized unconditionally. After recalling the decision-making practice of competition authorities and the case law related to the failing firm defense (A.), the Competition Authority will explain the reasons why this argument cannot be accepted in this case (B.).</w:t>
      </w:r>
    </w:p>
    <w:p>
      <w:r>
        <w:t>A. CRITERIA FOR THE APPLICABILITY OF THE FAILING FIRM DEFENSE</w:t>
      </w:r>
    </w:p>
    <w:p>
      <w:r>
        <w:t>348. The aforementioned guidelines recall in § 561 that in the case of the application of the failing firm defense, a transaction may be authorized unconditionally, even if it is likely to harm competition. In its ruling of February 6, 2004, regarding the Seb / Moulinex merger, the Council of State recalled the three cumulative criteria necessary for the failing firm defense to apply:</w:t>
        <w:br/>
        <w:t>- "firstly, [...] [the difficulties] [faced by the firm] would lead to the rapid disappearance of the company in the absence of a takeover";</w:t>
        <w:br/>
        <w:t>- "secondly, [...] there is no other less harmful takeover offer for competition, covering all or a substantial part of the firm";</w:t>
        <w:br/>
        <w:t>- "thirdly, [...] the disappearance of the distressed firm would not be less harmful to consumers than the proposed takeover."</w:t>
      </w:r>
    </w:p>
    <w:p>
      <w:r>
        <w:t>349. The implementation of this defense leading to the unconditional authorization of the concentration operation, the above criteria are to be interpreted strictly.</w:t>
      </w:r>
    </w:p>
    <w:p>
      <w:r>
        <w:t>350. When these three criteria are met, it can be considered that it is not the notified operation that is the cause of the deterioration of the competitive situation in the market: the operation can then be authorized unconditionally as long as they are cumulatively fulfilled.</w:t>
      </w:r>
    </w:p>
    <w:p>
      <w:r>
        <w:t>351. The first criterion requires establishing that the target was not able to continue its activity in the short term. It is generally considered to be met when a judicial procedure is opened before a commercial court.</w:t>
      </w:r>
    </w:p>
    <w:p>
      <w:r>
        <w:t>352. The second criterion aims to measure the reaction of market operators in the event of the target's failure, in order to verify whether the takeover by the notifying party was the least harmful possible scenario for competition in the event of the target's failure, covering all or a substantial part of the target's scope.</w:t>
      </w:r>
    </w:p>
    <w:p>
      <w:r>
        <w:t>353. Conversely, if there were credible alternative offers that were less harmful to competition than that of the acquirer, then it is indeed the notified operation that is the cause of the deterioration of the competitive situation in the market. In the context of the review it conducts to assess the application of the failing firm defense, the Competition Authority carries out an autonomous analysis, specific to each case, of the completeness of the offers and their impact on competition.</w:t>
      </w:r>
    </w:p>
    <w:p>
      <w:r>
        <w:t>354. In this analysis, credible alternative offers may be considered to be offers covering a scope of takeover comparable to that of the notifying party, even if the case law does not require that the scope taken over be strictly identical. Furthermore, to be considered a credible alternative offer, an offer does not necessarily have to have the same degree of completeness as the offer presented by the notifying party. Decision-making practice and case law do not require that the alternative offer be strictly equivalent or financially better than that put forward by the notifying party to be considered credible. Finally, the submission of an offer before the commercial court in the context of a formal takeover procedure cannot be considered either a necessary criterion or a sufficient criterion for an offer to be considered credible in the sense of the second applicability criterion of the failing firm defense.</w:t>
      </w:r>
    </w:p>
    <w:p>
      <w:r>
        <w:t>355. The third criterion must be examined in the event that the first two criteria are met. It continues the analysis of the causal link between the operation and the deterioration of the competitive situation in the market by comparing the competitive effects of the notified operation with those of the various conceivable scenarios in the event that it had not taken place.</w:t>
      </w:r>
    </w:p>
    <w:p>
      <w:r>
        <w:t>356. In its ruling in the Kali and Salz case of March 31, 1998, the CJEU recalled that the analysis of this criterion aims to reveal the specific effects of the concentration operation, compared to the spontaneous dynamics of the market. This analysis, necessary when the second criterion is met, allows for a comparison of the specific effects of the operation with the spontaneous dynamics of the market, in a broader framework than the analysis of the second criterion: "In fact, the introduction of this criterion aims to ensure that the existence of a causal link between the concentration and the deterioration of the competitive structure of the market can only be excluded if the deterioration of the competitive structure, following the concentration operation, would occur similarly even in the absence of this operation."</w:t>
      </w:r>
    </w:p>
    <w:p>
      <w:r>
        <w:t>357. The Council of State specifies that, in this context, scenarios involving the takeover of only certain assets of the target company must be taken into account: "Considering, furthermore, that in</w:t>
      </w:r>
    </w:p>
    <w:p>
      <w:r>
        <w:rPr>
          <w:b/>
        </w:rPr>
        <w:t>[Pages 61–63]</w:t>
      </w:r>
    </w:p>
    <w:p>
      <w:r>
        <w:t>estimating that a potential acquisition of the brands held by Moulinex, without the acquisition of industrial assets, did not alter the analysis, the minister overlooked the opportunities offered by such an acquisition to an operator wishing to enter the French small household appliances market, on which, according to the minister himself, the main barrier to entry was constituted by the brands.</w:t>
      </w:r>
    </w:p>
    <w:p>
      <w:r>
        <w:t>358. When the second criterion is met and there is no alternative offer to that of the acquirer on an equivalent scope of activity, the analysis of the third criterion must take into account the probable scenarios for the acquisition of certain assets and their effects on competition. The third criterion is considered met only in the event that these alternative scenarios would have the same effects on competition as the notified operation.</w:t>
      </w:r>
    </w:p>
    <w:p>
      <w:r>
        <w:t>359. In the analysis of the third criterion for the applicability of the failing firm exception, the Authority first identifies credible alternative counterfactual scenarios in the event that the notified operation does not take place. On this basis, it analyzes the effects of these scenarios on the market structure. The results of this analysis are then compared to the results of the competitive analysis of the notified operation.</w:t>
      </w:r>
    </w:p>
    <w:p>
      <w:r>
        <w:t>B. APPLICATION TO THE CASE AT HAND</w:t>
      </w:r>
    </w:p>
    <w:p>
      <w:r>
        <w:t>1. On the risk of the rapid disappearance of the target company in the absence of the operation (first criterion)</w:t>
      </w:r>
    </w:p>
    <w:p>
      <w:r>
        <w:t>360. The notifying party indicates that the target company was not in a position to continue its activity.</w:t>
      </w:r>
    </w:p>
    <w:p>
      <w:r>
        <w:t>361. The elements gathered during the investigation and, in particular, the hearings of the actors involved in the divestiture process of the Agripole group companies, confirm the difficulties encountered by it since the end of 2016. These difficulties ultimately led to the opening of a judicial recovery procedure for William Saurin on June 12, 2017.</w:t>
      </w:r>
    </w:p>
    <w:p>
      <w:r>
        <w:t>362. The short-term failure of the target company in the absence of an acquisition is therefore established. Consequently, the first criterion for the applicability of the failing firm exception is met.</w:t>
      </w:r>
    </w:p>
    <w:p>
      <w:r>
        <w:t>2. On the absence of a less harmful alternative offer for competition, covering all or a substantial part of the business (second criterion)</w:t>
      </w:r>
    </w:p>
    <w:p>
      <w:r>
        <w:t>a. Description of the divestiture procedure followed in this case</w:t>
      </w:r>
    </w:p>
    <w:p>
      <w:r>
        <w:t>363. The process of acquiring the target took place between the end of 2016 and October 2017. It was carried out under the conciliation protocol of January 11, 2017, and was overseen by a conciliator and the Interministerial Committee for Industrial Restructuring (hereinafter CIRI). The search for potential acquirers was conducted by an investment bank mandated by the public and private creditors of the Agripole group.</w:t>
      </w:r>
    </w:p>
    <w:p>
      <w:r>
        <w:t>364. This process is part of the broader context of the failure of the Financière Turenne Lafayette group following the discovery of financial anomalies in the management of the group at the end of 2016, whose various business segments were successively sold at the beginning of 2017. This overall process required the intervention of public authorities (via the CIRI) and several private banks that agreed to finance the continuity of the activity of the different segments of the group during the divestiture procedure. These various sales were organized by the conciliator appointed for this purpose in accordance with the first paragraph of Article L. 611-7 of the Commercial Code and according to a procedure known as "pre-pack" (see below). The conciliator relied on experts from Rothschild bank for the search for acquirers.</w:t>
      </w:r>
    </w:p>
    <w:p>
      <w:r>
        <w:t>365. A summary of these searches was provided by the notifying party (this summary is based on the elements provided by Rothschild bank, which conducted these searches): "The report from the consulting firm BM&amp;A specifies that the Bank communicated and commented on its intervention proposal and a summary document outlining its due diligence, indicating that:</w:t>
        <w:br/>
        <w:t>- 53 potential buyers had been contacted or had spontaneously expressed interest.</w:t>
        <w:br/>
        <w:t>- A significant number of visits to the Target were organized between March and May 2017.</w:t>
        <w:br/>
        <w:t>- In May 2017, 45 potential buyers had confirmed their desire to conduct a thorough study of the companies in the Prepared Meals Division and received a preliminary presentation file (Infopack).</w:t>
        <w:br/>
        <w:t>- The due diligence conducted led 22 potential buyers to send an unquantified letter of intent to the Bank, with 13 submitting a quantified letter of intent.</w:t>
        <w:br/>
        <w:t>- Subsequently, new confidential information was made available to investors, and 6 of them (sometimes acting jointly) submitted confirmatory offers to the Bank by May 30, 2017, resulting from discussions and negotiations held with the Agripole Group and its creditors, under the aegis of the conciliator appointed on May 23, 2017, and the CIRI."</w:t>
      </w:r>
    </w:p>
    <w:p>
      <w:r>
        <w:t>366. At this stage, four confirmatory offers were reviewed by the creditors, the conciliator, and the CIRI:</w:t>
        <w:br/>
        <w:t>- the offer from [operator 1], for an amount of […] million euros, which did not cover the entire scope, but only the shares of CCA Périgord and Conserverie du Languedoc (it included the acquisition of a liability of […] million euros);</w:t>
        <w:br/>
        <w:t>- the offer from [operator 2], for an amount of […] million euros, covered all the assets of the "prepared meals" division of Agripole and required, to be implemented, the opening of judicial recoveries for both William Saurin and its subsidiaries (it included the acquisition of a liability of […] million euros);</w:t>
        <w:br/>
        <w:t>- the offer from [operator 3], for an amount of […] million euros, covered all the assets of the "prepared meals" division and required, to be implemented, the opening of judicial recoveries for both William Saurin and its subsidiaries (it included the acquisition of a liability of […] million euros);</w:t>
        <w:br/>
        <w:t>- and the offer from Cofigeo and Arterris, for an amount of 42 million euros, covered the assets of William Saurin and the shares of its subsidiaries and required, to be implemented, the opening of a judicial recovery for only William Saurin (it included the acquisition of a liability of 15.8 million euros).</w:t>
      </w:r>
    </w:p>
    <w:p>
      <w:r>
        <w:t>367. The issuers of these four offers had been heard by the conciliator, the CIRI, and the creditors during May. According to statements from representatives of Rothschild bank during their hearing, final negotiations were conducted with [operator 3] on the one hand, and Cofigeo and Arterris on the other, these offers being the most advantageous in terms of price. These elements are confirmed by exchanges between the conciliator and these operators during the same period. The stakeholders in the divestiture procedure therefore considered, at that date, these two offers as credible.</w:t>
      </w:r>
    </w:p>
    <w:p>
      <w:r>
        <w:t>368. During this final phase, the differentiating criterion between the offer made by Cofigeo and Arterris on the one hand and the offer made by [operator 3] on the other was, according to the conciliator's terms, based on the "procedural framework" in which the two offers were situated. By only covering the assets of William Saurin's subsidiaries, the offer from [operator 3] could only be implemented by placing all the target companies into judicial recovery, unlike the offer from Cofigeo and Arterris which covered the shares of William Saurin's subsidiaries and thus allowed avoiding their judicial recovery (only William Saurin itself needing to be placed into recovery). The conciliator requested, in an email dated June 1, 2017, [operator 3] to encourage them to "place themselves in the same procedural framework" as Cofigeo and Arterris, and thus to revise the terms of [their] offer to also acquire the shares of William Saurin's subsidiaries. [Operator 3] did not wish to modify [their] proposal to respond to the request made by the conciliator (information conveyed by a response letter to the conciliator on June 1, 2017).</w:t>
      </w:r>
    </w:p>
    <w:p>
      <w:r>
        <w:t>369. On June 9, 2017, only William Saurin (and not its subsidiaries) filed a declaration of cessation of payments for the purpose of opening a judicial recovery. This request was granted on June 12, 2017, and the offer made by Cofigeo and Arterris, the only one that could be implemented, was presented to the commercial court.</w:t>
      </w:r>
    </w:p>
    <w:p>
      <w:r>
        <w:t>370. In the context of the order opening the procedure, the commercial court considered that the search for an acquirer conducted by the conciliator had been complete and serious and that the offer from Cofigeo and Arterris was satisfactory. Consequently, it considered that the conditions for opening a judicial recovery procedure were met.</w:t>
      </w:r>
    </w:p>
    <w:p>
      <w:r>
        <w:rPr>
          <w:b/>
        </w:rPr>
        <w:t>[Pages 64–66]</w:t>
      </w:r>
    </w:p>
    <w:p>
      <w:r>
        <w:t>remained and it was not necessary to apply the first paragraph of I of Article L. 642-2 of the Commercial Code. In doing so, it validated the pre-pack sale.</w:t>
      </w:r>
    </w:p>
    <w:p>
      <w:r>
        <w:t>371. Furthermore, on June 13, 2017, the commissioner judge of the commercial court issued an order authorizing the lease-management of the business assets of the target companies by Cofigeo.</w:t>
      </w:r>
    </w:p>
    <w:p>
      <w:r>
        <w:t>372. By a judgment dated October 3, 2017, the commercial court approved the asset transfer plan of the company William Saurin to the companies Cofigeo and Arterris, without any other buyer having expressed interest in acquiring the target since the opening of the judicial recovery.</w:t>
      </w:r>
    </w:p>
    <w:p>
      <w:r>
        <w:t>b. Position of the notifying party</w:t>
      </w:r>
    </w:p>
    <w:p>
      <w:r>
        <w:t>373. The notifying party considers that there was no alternative offer to that submitted by Cofigeo and Arterris, in the sense of the second applicability criterion of the failing firm exception.</w:t>
      </w:r>
    </w:p>
    <w:p>
      <w:r>
        <w:t>374. Indeed, according to the notifying party, the second applicability criterion of the failing firm exception must be considered fulfilled as long as:</w:t>
        <w:br/>
        <w:t>- the conditions for seeking a buyer candidate ensured the competitive and sufficiently open nature of the procedure;</w:t>
        <w:br/>
        <w:t>- only the joint offer of Cofigeo and Arterris met the legal conditions to be presented to the commercial court, no judicial recovery having been opened in favor of the subsidiaries of William Saurin, which rendered competing offers unfeasible, even "void";</w:t>
        <w:br/>
        <w:t>- no new offer was made before the commercial court between the date of the authorization of Cofigeo's lease-management of the target's business assets (decision of the commercial court of June 13, 2017, effective June 12) and the date of the judgment approving the asset transfer plan in favor of Cofigeo and Arterris (October 3, 2017).</w:t>
      </w:r>
    </w:p>
    <w:p>
      <w:r>
        <w:t>c. Assessment in the specific case</w:t>
      </w:r>
    </w:p>
    <w:p>
      <w:r>
        <w:t>375. The acquisition of the assets of the Agripole group by Cofigeo was organized under the auspices of a conciliator, appointed in accordance with the provisions of the first paragraph of Article L. 611-7 of the Commercial Code. Under these provisions, the conciliator "may be tasked, at the request of the debtor and after consultation with the participating creditors, with a mission aimed at organizing a partial or total transfer of the business that could be implemented, if necessary, within the framework of a subsequent safeguard, judicial recovery, or judicial liquidation procedure."</w:t>
      </w:r>
    </w:p>
    <w:p>
      <w:r>
        <w:t>376. The transfer organized by the conciliator took the form of a so-called "pre-pack" in accordance with the provisions of the second paragraph of Article L. 642-2 of the Commercial Code, which allows the court to decide not to apply the provisions of the same article relating to the search period for buyers. Nevertheless, the validation by the commercial court of the early search for buyers within the framework of a pre-pack should not hinder the examination by the Competition Authority in the context of merger control of events that occurred during the period preceding the actual opening of the judicial recovery.</w:t>
      </w:r>
    </w:p>
    <w:p>
      <w:r>
        <w:t>377. In this case, the search for buyers within the framework of the pre-pack took place between January and June 2017, under the conditions recalled above. It resulted in the presentation to the commercial court, by the conciliator, of the sole joint offer from the companies Cofigeo and Arterris.</w:t>
      </w:r>
    </w:p>
    <w:p>
      <w:r>
        <w:t>378. Contrary to what the notifying party argues, the fact that only one acquisition offer was presented to the commercial court does not suffice to demonstrate that there "was no alternative offer less harmful to competition," in the sense of the case law and decision-making practice.</w:t>
      </w:r>
    </w:p>
    <w:p>
      <w:r>
        <w:t>379. In the context of a classic judicial recovery procedure, the search for buyers occurs after the opening of the judicial recovery. The pre-pack modifies this timeline, notably to limit the economic risks associated with the recovery situation for the target company. Thus, in the analysis of a classic judicial recovery procedure, the assessment of the existence of alternative offers generally concerns the offers presented during this period, and the analysis of their credibility relies on that conducted by the court, even if the criteria used by the Competition Authority to assess the offers are of a different nature from those used by the court.</w:t>
      </w:r>
    </w:p>
    <w:p>
      <w:r>
        <w:t>380. Once the pre-pack procedure is implemented, the Competition Authority cannot limit its analysis to the period of the judicial recovery itself. Due to the pre-pack, the manifestation and formulation of offers from potential buyers can occur before the opening of the judicial recovery, which is the very purpose of such a procedure. In this context, the analysis of the second applicability criterion of the failing firm exception requires examining the credibility of the offers made throughout the entire procedure, including during the search for buyers prior to the opening of the judicial recovery. An offer may be considered credible as long as it was sufficiently developed in this context and concerned the entirety or a substantial part of the scope covered in the final accepted offer.</w:t>
      </w:r>
    </w:p>
    <w:p>
      <w:r>
        <w:t>381. In this regard, the fact that the actors in charge of the pre-pack considered an offer credible, even if they ultimately deemed another offer more advantageous based on criteria they were responsible for considering, within the specific framework of collective procedure law (price, legal execution modalities, job preservation, etc.), necessarily leads to the conclusion that this offer constitutes a credible offer, in the sense of the second applicability criterion of the failing firm exception.</w:t>
      </w:r>
    </w:p>
    <w:p>
      <w:r>
        <w:t>On the publicity of the procedure implemented</w:t>
      </w:r>
    </w:p>
    <w:p>
      <w:r>
        <w:t>382. Within the framework of a pre-pack, the search for potential buyers is conducted before the opening of the judicial recovery by the court. Such a procedure cannot therefore be presumed to guarantee in all cases the level of publicity required for the second applicability criterion of the failing firm exception to be considered fulfilled. In such cases, the procedure followed must be analyzed in concreto. It is then up to the notifying party to demonstrate that, in this specific case, the procedure conducted allowed for broad information to potential buyers so that they could express their interest in a timely manner.</w:t>
      </w:r>
    </w:p>
    <w:p>
      <w:r>
        <w:t>383. In this case, the notifying party provides numerous elements attesting to the seriousness of the procedure and the level of publicity ensured throughout the acquisition process. It notably recalls the number of candidates contacted at each stage of the process. Furthermore, it emerges from several documents in the file, and notably from the hearings of the various stakeholders involved in the transfer process, that the procedure followed allowed for numerous potential buyers, both French and foreign, to be contacted.</w:t>
      </w:r>
    </w:p>
    <w:p>
      <w:r>
        <w:t>384. The procedure conducted thus guaranteed broad information on the opportunity to acquire the assets of William Saurin and led, as recalled above, 45 potential buyers to request communication of an "info-pack" prepared by Rothschild bank, and then 16 potential buyers to participate in a "data room."</w:t>
      </w:r>
    </w:p>
    <w:p>
      <w:r>
        <w:t>385. Moreover, the public nature of the pre-pack procedure followed in this case was confirmed, in fact, by the order opening the judicial recovery issued by the Paris commercial court on June 12, 2017, in which the court considered that the search for a buyer conducted upstream had been complete and serious.</w:t>
      </w:r>
    </w:p>
    <w:p>
      <w:r>
        <w:t>386. It follows from the preceding elements that the pre-pack procedure followed in this case ensured a sufficient level of publicity to allow potential buyers to express their interest in the target's assets.</w:t>
      </w:r>
    </w:p>
    <w:p>
      <w:r>
        <w:t>On the credibility and completeness of the offers</w:t>
      </w:r>
    </w:p>
    <w:p>
      <w:r>
        <w:t>387. In this case, 4 confirmatory offers were presented to the investment bank on May 30, 2017, for the final negotiations with the conciliator, the CIRI, and the creditors of the Agripole group.</w:t>
      </w:r>
    </w:p>
    <w:p>
      <w:r>
        <w:t>388. These 4 offers were presented in the conciliator's final mission report dated June 9, 2017. The elements mentioned in this report were confirmed by the hearings of the stakeholders involved in the transfer process conducted within the framework of this instruction.</w:t>
      </w:r>
    </w:p>
    <w:p>
      <w:r>
        <w:t>389. Furthermore, these elements were reiterated by the Paris commercial court which, in its judgment of October 3, 2017, as rectified by the rectifying judgment of January 16, 2018, recalled that at the end of the preparatory transfer procedure organized upstream of the opening of the judicial recovery procedure, under the supervision of the conciliator and the CIRI with the assistance of the investment bank, 4 firm offers had been received.</w:t>
      </w:r>
    </w:p>
    <w:p>
      <w:r>
        <w:t>390. It follows from the above that these four offers were considered credible within the framework of the transfer process and must thus be analyzed in light of the second applicability criterion of the failing firm exception.</w:t>
      </w:r>
    </w:p>
    <w:p>
      <w:r>
        <w:t>391. In its ruling of February 6, 2004, the Council of State specifies that the alternative offer must concern "the entirety or a substantial part of the business."</w:t>
      </w:r>
    </w:p>
    <w:p>
      <w:r>
        <w:t>392. In this case, one of the offers in contention in the final phase of the transfer process, namely that made by [operator 1], only concerned two of the subsidiaries of William Saurin (the companies CCA Périgord and Conserverie du Languedoc).</w:t>
      </w:r>
    </w:p>
    <w:p>
      <w:r>
        <w:t>393. This offer cannot therefore be retained as an alternative, in the sense of the case law relating to the second applicability criterion of the failing firm exception, as it did not allow for the acquisition of a "substantial part" of the companies and brands of the target.</w:t>
      </w:r>
    </w:p>
    <w:p>
      <w:r>
        <w:t>394. In contrast, the offers made by [operator 2], [operator 3], and Cofigeo and Arterris concerned the entirety of the activities of the ambient prepared meals division of the Agripole group. Furthermore, these three offers ensured the preservation of employment, as specified in the conciliator's final mission report of June 9, 2017.</w:t>
      </w:r>
    </w:p>
    <w:p>
      <w:r>
        <w:t>395. These three offers therefore covered a scope of activity equivalent to that of the offer of the notifying party ultimately retained.</w:t>
      </w:r>
    </w:p>
    <w:p>
      <w:r>
        <w:t>396. However, the offers from [operator 3] and [operator 2] only concerned the assets of William Saurin and its subsidiaries and not the shares of the subsidiaries of William Saurin. Thus,</w:t>
      </w:r>
    </w:p>
    <w:p>
      <w:r>
        <w:rPr>
          <w:b/>
        </w:rPr>
        <w:t>[Pages 67–69]</w:t>
      </w:r>
    </w:p>
    <w:p>
      <w:r>
        <w:t>they could only be implemented on the condition of placing all the companies of the Agripole group into judicial recovery, unlike the offer from Cofigeo and Arterris which could be implemented based solely on the judicial recovery of William Saurin. The stakeholders in the divestiture process indicated that the offer made by Cofigeo and Arterris was considered more advantageous for this reason, since this difference implied a takeover by Cofigeo and Arterris of a broader debt perimeter (notably towards the suppliers of William Saurin's subsidiaries) than the offers structured differently. Furthermore, insofar as the conciliator had an offer concerning the shares of William Saurin's subsidiaries, the judicial recovery was opened exclusively for this company, thereby rendering the alternative offers unenforceable in their current state (at the time of the opening of the procedure or during the period of judicial recovery in the strict sense).</w:t>
      </w:r>
    </w:p>
    <w:p>
      <w:r>
        <w:t>397. The notifying party considers that the unenforceability of the alternative offers to its own should lead to them being regarded as non-credible, or even non-existent, in the sense of the second criterion of applicability of the failing firm exception. It relies in particular on the fact that other potential buyers had the opportunity, at the end of the pre-pack procedure and then during the formal period of judicial recovery, to submit an offer structured in the same way as that made by Cofigeo and Arterris.</w:t>
      </w:r>
    </w:p>
    <w:p>
      <w:r>
        <w:t>398. The Competition Authority considers that the fact that the alternative competing buyers did not align with the more advantageous offer, at the end of the pre-pack procedure or during the formal phase of judicial recovery, is not a sufficient element to dismiss the credibility of their offers. The conciliator and the CIRI also recalled that while an offer concerning the shares of William Saurin's subsidiaries was naturally preferable from their perspective, such structuring of offers was not, within the framework of the divestiture procedure, a sine qua non condition for considering these offers. A takeover of only the assets would therefore have been perfectly conceivable. This is, moreover, the method of takeover that was retained during the acquisition of the cured meat business of Financière Turenne Lafayette by the company Cooperl Arc Atlantique, a takeover also conducted under the auspices, in particular, of the CIRI. These elements were confirmed by the conciliator during the session of May 14, 2018.</w:t>
      </w:r>
    </w:p>
    <w:p>
      <w:r>
        <w:t>399. Insofar as the conciliator had an offer concerning the shares of William Saurin's subsidiaries, he only requested the opening of a judicial recovery for the benefit of William Saurin. Consequently, the offers from [operator 3] and [operator 2] were not presented to the commercial court. On this point, the conciliator indicated, in his email of June 1 to the counsel of [operator 3]: "As I indicated to you, if you decide to place yourselves in the same procedural framework, that is to say a takeover without bankruptcy filing of William Saurin's subsidiaries, it is indeed up to the Tribunal to arbitrate the competing offers, and you will have the opportunity to present the arguments you have developed before me, which lead you to believe that you are the best candidates. Otherwise, your overall offer cannot, in fact, be supported, as no divestiture plan for the subsidiaries can obviously be adopted if they are not in procedure."</w:t>
      </w:r>
    </w:p>
    <w:p>
      <w:r>
        <w:t>400. The fact that alternative potential buyers refused to align with the more advantageous offer before the opening of the judicial recovery procedure, and did not present an offer structured in a manner equivalent to the more advantageous offer after its opening, cannot lead to questioning their credibility in the analysis of the second criterion of applicability of the failing firm exception by the Competition Authority. Indeed, case law does not require that only offers strictly equivalent to the offer ultimately retained be considered as credible alternatives. Similarly, the fact that the offer made by [operator 2] was formulated at a price lower by […] million euros compared to the two competing offers does not constitute a sufficient difference to consider that it was not credible, in the sense of the second criterion of the failing firm exception.</w:t>
      </w:r>
    </w:p>
    <w:p>
      <w:r>
        <w:t>401. It is up to the Competition Authority, in the context of examining the second criterion of applicability of the failing firm exception, as defined by case law (both French and European, the principles in this matter being widely shared by all competition authorities, including in the United States) to determine whether there has been, or whether there can still be, one or more serious buyers for all or a significant part of the target's activity.</w:t>
      </w:r>
    </w:p>
    <w:p>
      <w:r>
        <w:t>402. In this regard, all buyers who have manifested themselves during the procedure should be taken into account, as long as they have shown a serious intention to acquire the target. It matters little, in this hypothesis, that at the end of the procedure conducted under the auspices of the investment bank and the conciliator, the buyer in question did not wish to "align," as requested by the conciliator, with the takeover conditions proposed by Cofigeo. It should be noted that [operator 3] presented a firm offer that was valid for a specified period. Admittedly, this period was brief, as it fell within a process initiated several months earlier and marked by urgency. Nevertheless, this offer was serious and credible. The conciliator had asked [operator 3] to align with Cofigeo's more advantageous offer, but [he] chose not to pursue the procedure, neither by modifying [his] offer at this stage, nor by submitting it later to the commercial court. Nonetheless, a firm offer from [operator 3] did indeed exist.</w:t>
      </w:r>
    </w:p>
    <w:p>
      <w:r>
        <w:t>403. Therefore, even though the offer made by [operator 2] and that made by [operator 3] were ultimately less advantageous than that of Cofigeo and Arterris, in light of the assessment criteria retained by the organizers of the divestiture process, the Competition Authority considers that they constitute, in the sense of the second criterion of applicability of the failing firm exception, credible alternatives to the notifying party's offer. In other words, it is established by the documents in the file that other economic operators than the notifying party saw an interest in the takeover of the failing target and were willing to take over its activity.</w:t>
      </w:r>
    </w:p>
    <w:p>
      <w:r>
        <w:t>On the less harmful nature for competition of the alternative offers compared to the notifying party's offer</w:t>
      </w:r>
    </w:p>
    <w:p>
      <w:r>
        <w:t>404. First of all, the offer made by [operator 2] would probably not have generated any prima facie competition problems, the buyers not being, according to the terms of the investment bank, "in the sector." [Confidential]</w:t>
      </w:r>
    </w:p>
    <w:p>
      <w:r>
        <w:t>405. The offer made by [operator 3], on the other hand, would have led to overlaps in activity between one of the buyers ([Confidential]) and the target. This scenario was therefore subject to a prima facie competitive analysis in order to compare its effects with those of the notified operation.</w:t>
      </w:r>
    </w:p>
    <w:p>
      <w:r>
        <w:t>406. The scenario studied by the Competition Authority is that of a takeover by [operator 3] of a target whose perimeter would correspond to that of the notified operation, to which La Belle Chaurienne is also added. The competitive analysis of this scenario is conducted based on the market share data in value provided by the notifying party, used in the context of this investigation.</w:t>
      </w:r>
    </w:p>
    <w:p>
      <w:r>
        <w:t>407. In the market for PCF, the notified operation (hereinafter "Cofigeo scenario") as well as the acquisition of Agripole's assets by [operator 3] (hereinafter "scenario [operator 3]") consist of a modification of the competitive structure of the market that shifts, in both cases, from three major players (William Saurin, Cofigeo, and [operator 3]) to two major players (Cofigeo/William Saurin and [operator 3]; or [operator 3]/William Saurin and Cofigeo).</w:t>
      </w:r>
    </w:p>
    <w:p>
      <w:r>
        <w:t>408. The Cofigeo scenario (which has been analyzed in detail above) leads to the concentration, within the new entity, of the main brands in the market. Thus, at the end of the operation, the new entity will be the only significant player in the MDF segment (with [40-50]% market share according to the data provided by the notifying party, ahead of La Belle Chaurienne, the second operator with [5-10]% market share and D’Aucy in fifth position with [0-5]% market share). D’Aucy would then be the second player in the PCF segment (MDF and MDD combined), primarily as a supplier of MDD.</w:t>
      </w:r>
    </w:p>
    <w:p>
      <w:r>
        <w:t>409. The scenario [operator 3] would have resulted in a different situation, with the maintenance of two players (Cofigeo and [operator 3]), present simultaneously in MDF and MDD. In this respect, this scenario, while leading to market concentration, would not alter the structure of competition as drastically as the notified operation. Indeed, it would have maintained the separation between two entities of the leading brands in the market (as before the realization of the operation with William Saurin on the one hand, and Raynal and Roquelaure on the other). It would also have resulted in significant concentration in the MDD segment, but in this segment, there exists a competitive fringe that can more easily animate the market due to the structure of supply and marketing methods. Furthermore, the existence of significant available production capacities in PCF would have made [operator 3]'s position in the MDD segment of the PCF market contestable by other operators capable of producing PCF marketed under MDD.</w:t>
      </w:r>
    </w:p>
    <w:p>
      <w:r>
        <w:t>410. In the markets for PCI and PCE, the Cofigeo scenario results in the gathering within the new entity of all the leading brands, and a very strong concentration of the market, both in MDF and in MDD. This scenario gives Cofigeo a particularly important position, with over [80-90]% market share in the PCI market encompassing MDF and MDD; the second player would be D’Aucy, present exclusively in MDD, with [0-5]% market share and over [70-80]% market share in the PCE market encompassing MDF and MDD (ahead of Covi, primarily present in MDD, with [10-20]% market share).</w:t>
      </w:r>
    </w:p>
    <w:p>
      <w:r>
        <w:rPr>
          <w:b/>
        </w:rPr>
        <w:t>[Pages 70–72]</w:t>
      </w:r>
    </w:p>
    <w:p>
      <w:r>
        <w:t>proposition précédente, mais en y ajoutant des précisions sur les modalités de mise en œuvre de l’engagement (2).</w:t>
      </w:r>
    </w:p>
    <w:p>
      <w:r>
        <w:t>429. L’Autorité de la concurrence a examiné ces propositions d’engagement et a considéré qu’elles ne répondaient pas de manière adéquate aux préoccupations de concurrence identifiées. En effet, les engagements proposés ne garantissent pas une concurrence suffisante sur les marchés concernés, notamment en raison de l'absence de détails sur les conditions de sous-traitance et sur la durée de l'engagement.</w:t>
      </w:r>
    </w:p>
    <w:p>
      <w:r>
        <w:t>430. De plus, l’Autorité a noté que les engagements ne prévoient pas de mécanismes de contrôle suffisants pour s'assurer de leur mise en œuvre effective. Il est essentiel que les engagements soient accompagnés de mesures de suivi et de sanctions en cas de non-respect, afin de garantir leur efficacité à long terme.</w:t>
      </w:r>
    </w:p>
    <w:p>
      <w:r>
        <w:t>431. En conséquence, l’Autorité de la concurrence conclut que les engagements proposés par Cofigeo ne sont pas suffisants pour remédier aux atteintes à la concurrence identifiées et qu'il est nécessaire d'envisager des mesures correctives plus robustes pour assurer le maintien d'une concurrence effective sur les marchés concernés.</w:t>
      </w:r>
    </w:p>
    <w:p>
      <w:r>
        <w:rPr>
          <w:b/>
        </w:rPr>
        <w:t>[Pages 73–75]</w:t>
      </w:r>
    </w:p>
    <w:p>
      <w:r>
        <w:t>proposition initiale, mais restreignant la possibilité de sous-traitance à la production de produits PCI ou PCE sous MDF du donneur d’ordre et limitant les postes de coût pris en considération pour établir le prix facturé au donneur d’ordre au titre de la sous-traitance de fabrication. Cette proposition incluait également la mise en place d’une « structure de R&amp;D dédiée aux PCI et PCE », indépendante de la nouvelle entité, pouvant fournir ses services tant à Cofigeo qu’à des opérateurs tiers.</w:t>
      </w:r>
    </w:p>
    <w:p>
      <w:r>
        <w:t>1. Initial proposal for commitment</w:t>
        <w:br/>
        <w:t>a. The proposed commitment</w:t>
        <w:br/>
        <w:t>429. On May 16, 2018, Cofigeo submitted to the Competition Authority a proposal for a commitment consisting of offering any third-party operator who requests it the conclusion of an industrial subcontracting contract for the production of PCA (PCF, PCI, and PCE) in cans and jars in accordance with a specification and indications that would be communicated to it. This commitment does not include any limitation on the volumes that can be subcontracted to Cofigeo. The products thus manufactured would be supplied to the third-party operator without a commercial brand, allowing it to market them either under its own MDF or under MDD directly to GMS.</w:t>
      </w:r>
    </w:p>
    <w:p>
      <w:r>
        <w:t>430. These products would be supplied at a price determined based on the cost price, under the control of an independent expert, set by production site and by PCA recipe, incorporating only the production costs and distribution costs to the ordering party.</w:t>
      </w:r>
    </w:p>
    <w:p>
      <w:r>
        <w:t>431. This commitment was proposed for a duration of 5 years, renewable once at the motivated decision of the Competition Authority, and its compliance would be subject to the control of a representative. This commitment would be implemented within the framework of subcontracting contracts whose terms (notably the methods for calculating the cost price) would be subject to the representative.</w:t>
      </w:r>
    </w:p>
    <w:p>
      <w:r>
        <w:t>b. Assessment of the proposed commitment</w:t>
        <w:br/>
        <w:t>(i) Position of the notifying party</w:t>
        <w:br/>
        <w:t>432. The notifying party considers that this commitment would allow current and potential competitors of the new entity to exert competitive pressure on it in the PCA sector both in MDF and in MDD, by enabling them to have additional production capacities.</w:t>
      </w:r>
    </w:p>
    <w:p>
      <w:r>
        <w:t>433. The notifying party believes that the effectiveness of this commitment is not conditioned on the transfer or granting of a brand license to a third party, as it considers that brands do not constitute a determining element of the commercial positioning of operators in the PCA market. Moreover, according to the notifying party, this commitment would allow third parties to develop their own commercial brand.</w:t>
      </w:r>
    </w:p>
    <w:p>
      <w:r>
        <w:t>434. Finally, the notifying party believes that these commitments are sufficient to address the competition concerns identified by the Competition Authority.</w:t>
      </w:r>
    </w:p>
    <w:p>
      <w:r>
        <w:t>435. [Confidential].</w:t>
      </w:r>
    </w:p>
    <w:p>
      <w:r>
        <w:t>(ii) Case-specific analysis</w:t>
        <w:br/>
        <w:t>436. The Competition Authority notes that the proposed commitment, while it could partially alleviate the capacity constraints on certain third-party operators, does not resolve all the competition issues it has identified.</w:t>
      </w:r>
    </w:p>
    <w:p>
      <w:r>
        <w:t>437. Indeed, the proposed commitment relies solely on making production capacities available in the markets for PCA packaged in cans and jars. However, the identified competition concerns primarily relate to unilateral effects in the markets for PCI and PCE packaged in cans and jars that result from the combined effect of the concentration, within the new entity, of production capacities in PCI and PCE and that of all the well-known brands used in these same segments.</w:t>
      </w:r>
    </w:p>
    <w:p>
      <w:r>
        <w:t>438. The importance of brand recognition in the PCA markets has been reiterated several times in the analysis above, with the investigation having notably established that the brand is one of the main factors in the choice when purchasing PCA. Therefore, the commitment proposed by the notifying party, by not addressing the concentration of brands in the segments where the horizontal effects of the operation are most significant, is not capable of responding to the identified competition restrictions in the MDF segments of the PCI and PCE markets.</w:t>
      </w:r>
    </w:p>
    <w:p>
      <w:r>
        <w:t>439. Regarding the practical implementation modalities of the commitment proposed by the notifying party, several operators interviewed in the context of the market test raised difficulties particularly related to the methods of determining the cost price, contract execution (notably forecasting and scheduling orders), and protection of the ordering party's trade secrets. The Competition Authority shares the concerns expressed.</w:t>
      </w:r>
    </w:p>
    <w:p>
      <w:r>
        <w:t>440. Furthermore, two competing operators, interviewed in the context of the market test regarding the notifying party's commitment proposal, indicated that such a commitment would serve to strengthen the position of the new entity in the various segments of the PCA market by allowing it to amortize its fixed costs over the volumes marketed by its competitors. One operator notably stated: "Proposing to sell at cost price is proposing to better amortize its fixed costs; this would then be inequitable: the competition would finance the leader!"</w:t>
      </w:r>
    </w:p>
    <w:p>
      <w:r>
        <w:t>441. The Competition Authority indeed notes that the proposal may produce undesirable effects for the competitive fringe by facilitating the amortization of the leader's fixed costs.</w:t>
      </w:r>
    </w:p>
    <w:p>
      <w:r>
        <w:t>442. In any case, in the PCI and PCE markets, in the absence of being associated with the divestiture of a brand by the new entity, the notifying party's proposal is insufficient to remedy the identified competition concerns.</w:t>
      </w:r>
    </w:p>
    <w:p>
      <w:r>
        <w:t>443. The Competition Authority also notes several difficulties inherent to the nature of the proposed commitment. Due to its structure, it could limit the ordering party's maneuverability, both in terms of innovation and recipe composition, particularly due to the lack of certainty for the ordering party regarding the confidentiality of the recipes it wishes to manufacture on the production lines of the new entity and regarding its ability to solicit suppliers of its choice or to introduce specific ingredients into its recipes.</w:t>
      </w:r>
    </w:p>
    <w:p>
      <w:r>
        <w:t>2. Modified commitment proposal</w:t>
        <w:br/>
        <w:t>a. The proposed commitment</w:t>
        <w:br/>
        <w:t>444. On June 11, 2018, Cofigeo submitted to the Competition Authority a modified commitment proposal. This proposal retains the structure of the initial proposal while amending it on the following points:</w:t>
        <w:br/>
        <w:t>- the commitment proposal now only concerns the production of PCI and PCE intended exclusively to be marketed under MDF (and no longer on the production of MDD);</w:t>
        <w:br/>
        <w:t>- the methods for calculating the supply price to the third-party operator have been revised: the price would only take into account the "direct costs" incurred by production on behalf of the ordering party (thus excluding depreciation or indirect industrial costs not specific to this production);</w:t>
        <w:br/>
        <w:t>- the commitment would be made for a duration of 10 years, renewable once, at the motivated decision of the Competition Authority, for a duration of 5 years.</w:t>
      </w:r>
    </w:p>
    <w:p>
      <w:r>
        <w:t>445. Furthermore, in addition to production on behalf of a third-party operator, the notifying party's commitment proposal includes the establishment of a "R&amp;D structure dedicated to PCI and PCE," independent of the new entity. This structure would provide services both to Cofigeo and to potential ordering parties. The costs of this structure, which would be established at one of the new entity's PCI and PCE production sites, would be entirely borne by Cofigeo, as long as potential ordering parties hold less than 10% market share in volume in the PCI or PCE markets. Beyond this threshold, the costs related to the operation of this structure would be charged to the ordering party, pro rata to the projects or references developed on its behalf.</w:t>
      </w:r>
    </w:p>
    <w:p>
      <w:r>
        <w:t>b. Assessment of the proposed commitment</w:t>
        <w:br/>
        <w:t>(i) Position of the notifying party</w:t>
        <w:br/>
        <w:t>446. The notifying party argues that a commitment structured around production on behalf of a third-party operator allows, by easing the capacity constraint on other operators, to promote the emergence of their own MDF.</w:t>
      </w:r>
    </w:p>
    <w:p>
      <w:r>
        <w:t>447. It notably indicates that "this commitment would allow a current or potential competitor to:</w:t>
        <w:br/>
        <w:t>- benefit from cost prices lower than those of Cofigeo, freeing up resources to (i) invest in the development of its brand in the PCI / PCE segments and (ii) lower prices, particularly through promotions;</w:t>
        <w:br/>
        <w:t>- concentrate its efforts on developing a brand and its commercial positions, having great visibility on the security and price of its supplies."</w:t>
      </w:r>
    </w:p>
    <w:p>
      <w:r>
        <w:t>448. The notifying party believes, relying on the example of the launch of its brand "Chez Raynal," distributed by Système U since 2010, that the launch of a new MDF is not an obstacle capable of preventing the entry of a new operator into the market, as long as it has access to the production capacities of the new entity.</w:t>
      </w:r>
    </w:p>
    <w:p>
      <w:r>
        <w:t>(ii) Case-specific analysis</w:t>
        <w:br/>
        <w:t>449. The modified commitment proposal from Cofigeo partially addresses the criticism from certain operators that the initially envisaged pricing methods were such</w:t>
      </w:r>
    </w:p>
    <w:p>
      <w:r>
        <w:rPr>
          <w:b/>
        </w:rPr>
        <w:t>[Pages 76–78]</w:t>
      </w:r>
    </w:p>
    <w:p>
      <w:r>
        <w:t>que celui-ci aurait accès aux capacités de production de la nouvelle entité.</w:t>
      </w:r>
    </w:p>
    <w:p>
      <w:r>
        <w:t>(ii) Case-specific analysis</w:t>
      </w:r>
    </w:p>
    <w:p>
      <w:r>
        <w:t>449. The modified commitment proposal from Cofigeo partially addresses the criticism from certain operators that the initially contemplated pricing arrangements were such that Cofigeo's competitors could, by subcontracting part of their production to it, contribute to covering its fixed costs. However, this new proposal still presents significant limitations, some of which did not affect the initial proposal. Therefore, this modified commitment proposal does not constitute an adequate response to the concerns of the Competition Authority.</w:t>
      </w:r>
    </w:p>
    <w:p>
      <w:r>
        <w:t>450. Firstly, the Competition Authority notes that the notifying party has amended its commitment proposal to limit the contribution of potential clients to the amortization of its own fixed costs.</w:t>
      </w:r>
    </w:p>
    <w:p>
      <w:r>
        <w:t>451. Nevertheless, the modified commitment proposal does not include, and this is a critical shortcoming, a divestiture by the new entity of a well-known brand active in the PCI or PCE markets. However, it emerges from the entire detailed competitive analysis above that the MDF segment of the PCI and PCE markets is the segment where the position of the new entity will be least contestable following the operation.</w:t>
      </w:r>
    </w:p>
    <w:p>
      <w:r>
        <w:t>452. On this point, the sole example put forward by the notifying party, the launch of the "Chez Raynal" brand, is not relevant to illustrate the ease of launching a new brand. Firstly, this brand clearly benefited, at its launch, from the notoriety of the "Raynal et Roquelaure" brand (proximity of names, logos, and common mention of the acronym "R&amp;R" with the same spelling on the labels, presentation of products on the same website) from which it appears as a variation. Therefore, one cannot draw conclusions to demonstrate that it would be easy to launch a brand ex nihilo in these markets. Furthermore, the "Chez Raynal" brand is distributed only by a single client, Système U, and cannot therefore be compared to a national manufacturer brand similar to those marketed by the parties: William Saurin, Raynal et Roquelaure, Panzani, Zapetti.</w:t>
      </w:r>
    </w:p>
    <w:p>
      <w:r>
        <w:t>453. The Competition Authority therefore considers that the concentration of well-known brands within the new entity raises significant competition concerns that are not alleviated by the modified commitment proposed by the notifying party.</w:t>
      </w:r>
    </w:p>
    <w:p>
      <w:r>
        <w:t>454. Secondly, the Competition Authority notes that this modified commitment proposal restricts the scope of the commitment to the production of MDF by a third-party operator. Regardless of the effects of this proposal on the MDF segments of the PCI and PCE markets, the Competition Authority finds that such a commitment is not capable of addressing the competition concerns it has identified in the MDD segments of these two markets and, consequently, in the overall MDF/MDD market for PCI and PCE.</w:t>
      </w:r>
    </w:p>
    <w:p>
      <w:r>
        <w:t>455. Thirdly, regarding the proposal to create a dedicated R&amp;D structure for PCI and PCE, which would provide its services to both Cofigeo and third-party operators, the Competition Authority first notes the very vague nature of the missions of this structure. Moreover, the establishment of such a structure and its financing conditions could only marginally facilitate the entry of a new MDF, particularly given the limited resources of this structure. Finally, by its nature and operational modalities, such a structure is likely to create structural links between competing companies. As specified in point 513 of the aforementioned guidelines, structural links between competitors "…federate the interests of oligopolists and thus promote the convergence of their respective views on coordination modalities. Furthermore, these links facilitate the exchange of information." Structural links between competitors are generally perceived as detrimental to competition and may give rise to remedies (see in this regard points 603 and following of the aforementioned guidelines).</w:t>
      </w:r>
    </w:p>
    <w:p>
      <w:r>
        <w:t>456. Lastly, the Competition Authority notes that the modified commitment proposal from the notifying party does not resolve a number of difficulties raised by the first version of the commitment, concerning the practical implementation modalities of the commitment (see in this sense paragraphs 439 and 443): the notifying party provides no details on the actual organization of production and its impact on production costs, and thus on the prices charged to the client, nor on the modalities for protecting the industrial secrets of the client.</w:t>
      </w:r>
    </w:p>
    <w:p>
      <w:r>
        <w:t>457. However, as the Competition Authority recalls in point 421 of this decision, and in accordance with point 573 of the aforementioned guidelines, the implementation of remedies must not raise any doubts, which implies that they must be drafted with sufficient precision and that the operational modalities for their realization must be sufficiently detailed.</w:t>
      </w:r>
    </w:p>
    <w:p>
      <w:r>
        <w:t>458. Given all these elements, the Competition Authority considers, without the need to test this revised proposal with market operators and based on the elements gathered during the investigation, that the modified commitment proposal, which only brings marginal changes to the structure and scope of the initially proposed commitment, is not capable of addressing the identified competition concerns.</w:t>
      </w:r>
    </w:p>
    <w:p>
      <w:r>
        <w:t>3. Conclusion on the proposals submitted by the notifying party</w:t>
      </w:r>
    </w:p>
    <w:p>
      <w:r>
        <w:t>459. It follows from the above that the various versions of the commitment proposed by the notifying party are insufficient to remedy the anti-competitive effects of the operation.</w:t>
      </w:r>
    </w:p>
    <w:p>
      <w:r>
        <w:t>460. [Confidential]. The relevance of the remedies necessary for the authorization of the operation is indeed assessed primarily based on their ability to address the competition concerns specifically generated by the operation, including when it has been subject to a derogation from the suspensive nature of the concentration control. Indeed, such a procedure should not result in limiting the powers of the Competition Authority, as they arise from the provisions of Article L. 430-7 of the Commercial Code.</w:t>
      </w:r>
    </w:p>
    <w:p>
      <w:r>
        <w:t>461. Moreover, the derogation granted by the Competition Authority expressly provided that "this derogation does not prejudge the outcome of the investigation of the operation, conducted in accordance with Articles L. 430-3 of the Commercial Code and following, the Authority being able to impose remedies, or even prohibit the operation, if it harms competition. The company Cofigeo will therefore ensure, during the period preceding the final decision of the Authority, to refrain from any act and in particular from asset mergers or any transfer, which would be likely to modify the structure of the operation as it emerges from your request."</w:t>
      </w:r>
    </w:p>
    <w:p>
      <w:r>
        <w:t>462. Consequently, given the insufficiency of the proposed commitment, the authorization of the notified operation must be subject, in accordance with the aforementioned provisions of III of Article L. 430-7 of the Commercial Code, to the parties being ordered to implement measures to ensure sufficient competition. It is therefore up to the Competition Authority to define said measures.</w:t>
      </w:r>
    </w:p>
    <w:p>
      <w:r>
        <w:t>C. THE CORRECTIVE MEASURES ADOPTED BY THE AUTHORITY</w:t>
      </w:r>
    </w:p>
    <w:p>
      <w:r>
        <w:t>463. The corrective measures will be defined in light of the competition harms resulting from the notified operation, which have been identified above in the markets for the manufacture and marketing in GMS of PCA in cans and jars on the one hand, and in microwaveable trays on the other (1). After recalling their nature and objectives (2), the remedies retained by the Competition Authority to resolve the identified competition problems in these different markets will be presented (3).</w:t>
      </w:r>
    </w:p>
    <w:p>
      <w:r>
        <w:t>1. Reminder of the identified competition harms</w:t>
      </w:r>
    </w:p>
    <w:p>
      <w:r>
        <w:t>464. As recalled above, the operation will lead to substantial horizontal effects in the markets for the manufacture and marketing of PCI and PCE packaged in cans and jars due to the concentration of all well-known brands within the new entity, the weakness of the available production capacities of competitors, and the very significant market shares of the new entity. It has been established that the operation, due to the competitive proximity between the parties before the operation, is likely to generate substantial unilateral effects that no countervailing power is likely to offset.</w:t>
      </w:r>
    </w:p>
    <w:p>
      <w:r>
        <w:t>465. Furthermore, the new entity will be able to use its position in these markets to strengthen its position in the market for PCF packaged in cans and jars and in the market for PCA packaged in microwaveable trays, which could allow it to eliminate its competitors in these related markets. The operation is therefore likely to generate conglomerate effects between the different markets for PCA packaged in cans and jars and between these markets and that of PCA packaged in microwaveable trays.</w:t>
      </w:r>
    </w:p>
    <w:p>
      <w:r>
        <w:t>2. Nature of the remedies retained by the Competition Authority</w:t>
      </w:r>
    </w:p>
    <w:p>
      <w:r>
        <w:t>a. The objectives pursued by the remedies</w:t>
      </w:r>
    </w:p>
    <w:p>
      <w:r>
        <w:t>466. To ensure sufficient competition in the markets affected by the operation, the remedies defined by the Competition Authority must allow for the maintenance or creation of operators capable of exerting sufficient competitive pressure on the new entity.</w:t>
      </w:r>
    </w:p>
    <w:p>
      <w:r>
        <w:t>467. Given the identified competition harms in this case, the remedies retained by the Competition Authority must allow for the maintenance of competition in the PCI and PCE markets. However, as demonstrated above, the competitive analysis shows that the position of the new entity in these markets results from the concentration, within it, of all the well-known brands active in these markets and of almost all the available production capacities in France.</w:t>
      </w:r>
    </w:p>
    <w:p>
      <w:r>
        <w:t>468. Given the nature of the identified competition concerns in this case, and in accordance with the rules that guide the Competition Authority in its assessment of the appropriateness of the remedies it imposes, only structural measures can address the identified competition problems, in the absence of adequate behavioral commitments.</w:t>
      </w:r>
    </w:p>
    <w:p>
      <w:r>
        <w:t>469. The operation, in the absence of remedies, leading to a substantial modification of the market structure and significant unilateral effects, no behavioral measure, which is by nature limited in time, would indeed be able to resolve the identified competition problems sustainably, particularly due to the highly improbable nature of the entry of a new operator into the market. Furthermore, any potential remedy</w:t>
      </w:r>
    </w:p>
    <w:p>
      <w:r>
        <w:rPr>
          <w:b/>
        </w:rPr>
        <w:t>[Pages 79–81]</w:t>
      </w:r>
    </w:p>
    <w:p>
      <w:r>
        <w:t>behavioral remedy of making production capacities available of the same nature as the commitment proposed by the notifying party (in its various versions) would indeed face numerous implementation difficulties (organization of access to capacities, multiplicity of contracts, protection of innovation, relationship with suppliers and customers, homogenization and rigidity of the cost structure of the different operators in the market, etc.) that could undermine both the feasibility and controllability of such a remedy as well as its adequacy to the objectives pursued.</w:t>
      </w:r>
    </w:p>
    <w:p>
      <w:r>
        <w:t>470. The competitive analysis also shows that the MDF position of the new entity in the PCI and PCE markets, which include both MDF and MDD, is both the least contested by other operators and the one that allows it to generate the highest margins, this observation being naturally amplified when considering only the MDF segment. Indeed, the costs of launching and supporting a brand are significant, and the use of an active brand in a related market does not easily allow for market entry. Furthermore, launching a brand and building its credibility are lengthy processes. Therefore, the identified competition problems in these segments cannot be resolved without the divestiture, by the new entity, of a well-known brand in the PCI and PCE markets.</w:t>
      </w:r>
    </w:p>
    <w:p>
      <w:r>
        <w:t>471. At the same time, due to the lack of rapidly available production capacities in the PCI and PCE markets, the mere acquisition of a brand will not allow a third operator to challenge the position of the new entity in these markets.</w:t>
      </w:r>
    </w:p>
    <w:p>
      <w:r>
        <w:t>472. Moreover, the mere acquisition of a brand (or, for that matter, the provision of production capacities aimed solely at the production of MDF, as in the revised commitment proposal) will also not resolve the identified competition concerns in the PCI and PCE markets due to the position of the new entity in the MDD segment of these markets.</w:t>
      </w:r>
    </w:p>
    <w:p>
      <w:r>
        <w:t>473. The asset structure of the new entity, which produces PCI and PCE within the same factories (Pouilly-sur-Serre for the target and Camaret-sur-Aigues for the acquirer), does not allow for the acquisition of production capacities in the PCI markets on the one hand and the PCE markets on the other by distinct operators. Therefore, given the objectives of the remedy to be retained in this case, the Authority must not only impose both a brand divestiture and a divestiture of production capacities, but also provide that all of these divestitures must be made in favor of a single operator.</w:t>
      </w:r>
    </w:p>
    <w:p>
      <w:r>
        <w:t>474. Indeed, if an operator has, at the end of the operation, a well-known brand present in the PCI and PCE markets, as well as production capacities that allow it to support and produce MDD in the same markets, it will be able to quickly challenge the position of the new entity and effectively stimulate competition. Such a situation would maintain, in the PCI and PCE markets, which represent approximately [30-40]% of the value of PCA production in cans and jars, competition between two operators.</w:t>
      </w:r>
    </w:p>
    <w:p>
      <w:r>
        <w:t>475. Several combinations of assets (brands and production capacities) of the new entity allow for achieving this result. Indeed, in the absence of a remedy, the new entity would hold, at the end of the notified operation, two production sites capable of simultaneously producing PCI and PCE. It would also hold an active brand in the PCI and PCE markets (Zapetti) and an active brand in the PCE market only (Garbit). Finally, it would operate, under license (until [...]), an active brand in the PCI market (Panzani).</w:t>
      </w:r>
    </w:p>
    <w:p>
      <w:r>
        <w:t>476. In order to meet the objectives of the present remedies, regarding the divestiture by the new entity of active brands in the PCI and PCE markets, two distinct and alternative scenarios allow for resolving the identified competition concerns above:</w:t>
        <w:br/>
        <w:t>- on the one hand, the termination of the Panzani license and its takeover by a third operator capable of exerting effective competitive pressure on the new entity, accompanied by the divestiture of the Garbit brand;</w:t>
        <w:br/>
        <w:t>- on the other hand, the divestiture of the Zapetti brand to a third operator.</w:t>
      </w:r>
    </w:p>
    <w:p>
      <w:r>
        <w:t>477. The divestiture by the new entity of the Panzani brand alone is not sufficient to resolve the identified competition concerns, as it must be accompanied by its takeover by a third party capable of effectively stimulating competition in the PCI market. However, such a takeover does not depend on the behavior of the notifying party but on that of the Panzani company, which owns the brand and is the decision-maker regarding the beneficiary of any potential license concerning it. Therefore, such a remedy would not present the necessary guarantees of effectiveness to be retained by the Competition Authority ab initio, particularly because it lacks control over the process of the license takeover by a third party. Consequently, the injunction to divest the Zapetti brand constitutes the only remedy that can be imposed by the Competition Authority on the notifying party in this case. However, in the event that the termination of the Panzani license, accompanied by its takeover by a credible third party, were to occur, the Competition Authority could be led to re-examine the present remedies at the request of the notifying party.</w:t>
      </w:r>
    </w:p>
    <w:p>
      <w:r>
        <w:t>478. Regarding the production capacities necessary for a new operator to effectively stimulate competition in the PCI and PCE markets, the divestiture of the target site (Pouilly-sur-Serre), as well as that of the acquirer’s site (Camaret-sur-Aigues), are each sufficient to meet the objectives of the present remedies. Therefore, it is not necessary to further constrain the new entity in its choice of assets to divest. It will be up to it to decide the combination of assets to divest within the limits imposed by the remedy retained by the Competition Authority and provided that this divestiture effectively allows the new entrant to stimulate competition in the PCI and PCE markets.</w:t>
      </w:r>
    </w:p>
    <w:p>
      <w:r>
        <w:t>b. Position of the notifying party</w:t>
        <w:br/>
        <w:t>479. [Confidential].</w:t>
        <w:br/>
        <w:t>480. [Confidential].</w:t>
        <w:br/>
        <w:t>481. [Confidential].</w:t>
      </w:r>
    </w:p>
    <w:p>
      <w:r>
        <w:t>c. Conclusion on the nature of the remedies retained by the Competition Authority</w:t>
        <w:br/>
        <w:t>482. Given the nature of the competition concerns raised by the operation, the Competition Authority can only authorize the present operation if it is accompanied by remedies that effectively guarantee the maintenance of real and sufficient competition in the PCI and PCE markets. In this case, and as recalled in paragraphs 466 and following, the competition concerns raised by the operation require remedies to allow a third operator to have both a well-known brand and production capacities (both in MDF and MDD) and thus be able to discipline the competitive behavior of the new entity in the PCI and PCE markets.</w:t>
      </w:r>
    </w:p>
    <w:p>
      <w:r>
        <w:t>483. In the absence of a sufficient commitment proposal from the notifying party to ensure such a result, the Competition Authority can only condition its authorization on structural measures that fulfill this objective. [Confidential].</w:t>
      </w:r>
    </w:p>
    <w:p>
      <w:r>
        <w:t>484. The Competition Authority also recalls that the injunctions pronounced are limited to the PCI and PCE markets, which, taken together, represent [30-40]% of PCA production in value, and that they concern the divestiture of the Zapetti brand, whose market share is significantly smaller than that of the Panzani brands in PCI and Garbit in PCE. Furthermore, the injunctions pronounced leave some room for maneuver for the notifying party in its negotiation with a potential acquirer, to determine the combination of assets to be divested. [Confidential]. However, the injunctions pronounced do not impose on Cofigeo to necessarily divest the exact perimeter of the assets of the company [Confidential] and it is open to the notifying party to modify the structure of its assets to proceed with the divestiture of the Pouilly-sur-Serre site, rather than that of Camaret-sur-Aigues.</w:t>
      </w:r>
    </w:p>
    <w:p>
      <w:r>
        <w:t>485. Moreover, if the operation, once accompanied by the necessary measures to maintain competition in the affected markets, were to place the acquirer in a difficult financial situation, the notifying party could, without infringing the decision of the Competition Authority, renounce the execution of the operation, divest the entirety of the target companies to a third party, and return to the pre-operation state. Indeed, as already recalled in paragraphs 460 and following, the derogation from the suspensive nature of the control of concentrations cannot prejudge the outcome of the decision ultimately rendered by the Competition Authority nor, a fortiori, limit the effect of its control.</w:t>
      </w:r>
    </w:p>
    <w:p>
      <w:r>
        <w:t>486. The injunctions pronounced by the Competition Authority strictly aim at maintaining sufficient competition in the markets where the operation is likely to lead to very significant unilateral effects. The fact that the execution of these injunctions may require the notifying party to modify its legal structure cannot be considered a sufficient reason to deem them, a priori, unfeasible.</w:t>
      </w:r>
    </w:p>
    <w:p>
      <w:r>
        <w:t>487. Furthermore, the Competition Authority notes that the architecture of the present injunctions, while addressing the competition concerns it has identified, maintains the economic interest of the operation for Cofigeo. Indeed, after acquiring the target perimeter as modified by the present remedies, Cofigeo will be in a leading position in the markets of</w:t>
      </w:r>
    </w:p>
    <w:p>
      <w:r>
        <w:rPr>
          <w:b/>
        </w:rPr>
        <w:t>[Pages 82–84]</w:t>
      </w:r>
    </w:p>
    <w:p>
      <w:r>
        <w:t>maintain a clear separation between the Divested Assets and the assets it will retain after the Operation and to ensure that the essential Personnel of the Divested Assets, including the Manager responsible for ensuring the separation of activities, has no connection with the activities and establishments retained by Cofigeo and vice versa. Cofigeo is also instructed to ensure that the Personnel do not report to any person outside the Divested Assets except for the Manager responsible for control.</w:t>
      </w:r>
    </w:p>
    <w:p>
      <w:r>
        <w:t>Until Closing, Cofigeo is instructed to assist the Manager responsible for control to ensure that the Divested Assets are managed as distinct and transferable entities, in relation to the assets retained by Cofigeo. Cofigeo is instructed to</w:t>
      </w:r>
    </w:p>
    <w:p>
      <w:r>
        <w:rPr>
          <w:b/>
        </w:rPr>
        <w:t>[Pages 85–87]</w:t>
      </w:r>
    </w:p>
    <w:p>
      <w:r>
        <w:t>the Mandataire chargé du contrôle. Until the Closing, Cofigeo is required to assist the Mandataire chargé du contrôle to ensure that the Transferred Assets are managed as distinct and transferable entities, in relation to the assets retained by Cofigeo. Cofigeo is required to designate a Manager responsible for ensuring the separation of activities who will be responsible for managing the Transferred Assets, under the control of the Mandataire chargé du contrôle. The Manager responsible for ensuring the separation of activities must manage the Transferred Assets independently and in their best interest to ensure the preservation of their economic viability, market value, competitiveness, and independence from the assets retained by Cofigeo.</w:t>
      </w:r>
    </w:p>
    <w:p>
      <w:r>
        <w:t xml:space="preserve">2 (c). Separation of the Transferred Assets from the assets retained by Cofigeo  </w:t>
        <w:br/>
        <w:t>Cofigeo is required to take all necessary measures to ensure that it cannot, after the Effective Date, obtain trade secrets, know-how, commercial information, or any other confidential or protected information regarding the Transferred Assets. Cofigeo may obtain information related to the Transferred Assets that is reasonably necessary to ensure their transfer or whose disclosure to Cofigeo is required by law, including financial reports, audit obligations, and other obligations related to its financing obligations or the requirements of health authorities.</w:t>
      </w:r>
    </w:p>
    <w:p>
      <w:r>
        <w:t xml:space="preserve">2 (d). Non-solicitation of Essential Personnel  </w:t>
        <w:br/>
        <w:t>Cofigeo is required not to solicit and to ensure that its subsidiaries do not solicit the Essential Personnel transferred with the Transferred Assets, for a period of two (2) years after the Closing.</w:t>
      </w:r>
    </w:p>
    <w:p>
      <w:r>
        <w:t xml:space="preserve">2 (e) Preliminary Review ("due diligence")  </w:t>
        <w:br/>
        <w:t>In order to allow potential buyers to conduct a preliminary review of the Transferred Assets, subject to customary confidentiality precautions and depending on the progress of the transfer process, Cofigeo is required to provide all relevant information related to the Transferred Assets.</w:t>
      </w:r>
    </w:p>
    <w:p>
      <w:r>
        <w:t xml:space="preserve">2 (f) Reporting  </w:t>
        <w:br/>
        <w:t>Cofigeo will submit to the Competition Authority and the Mandataire chargé du contrôle written reports regarding the potential Buyers of the Transferred Assets as well as information on the progress of negotiations with potential buyers, no later than fifteen (15) days after the end of each month following the Effective Date (or, if applicable, at the request of the Competition Authority). Cofigeo will inform the Competition Authority and the Mandataire chargé du contrôle of the preparation of the "data room" documentation as well as the status of the preliminary review process and will submit a copy of the information memoranda to them before their transmission to potential buyers.</w:t>
      </w:r>
    </w:p>
    <w:p>
      <w:r>
        <w:t xml:space="preserve">The Buyer  </w:t>
        <w:br/>
        <w:t xml:space="preserve">3 The Buyer, to be approved by the Authority, must:  </w:t>
        <w:br/>
        <w:t xml:space="preserve">- (a) be independent of Cofigeo and its subsidiaries, in particular without any direct or indirect capital link with them;  </w:t>
        <w:br/>
        <w:t xml:space="preserve">- (b) possess the financial resources, confirmed adequate skills, and the necessary motivation to preserve and develop the ability of the Transferred Assets to actively compete with the new entity and other competitors in a viable manner;  </w:t>
        <w:br/>
        <w:t>- (c) not be likely, in light of the information available to the Competition Authority, to raise competition issues or cause delays in the implementation of the Injunctions; in particular, be reasonably likely to obtain all necessary approvals from the competent regulatory authorities for the acquisition of the Transferred Assets.</w:t>
      </w:r>
    </w:p>
    <w:p>
      <w:r>
        <w:t xml:space="preserve">The criteria mentioned in points (a) to (b) above regarding the Buyer are hereinafter referred to as "required Buyer requirements."  </w:t>
        <w:br/>
        <w:t>When Cofigeo has reached an agreement with the Buyer, it must submit to the Competition Authority and the Mandataire chargé du contrôle a motivated and documented buyer proposal accompanied by a copy of the final version of the draft Transfer Agreement. Cofigeo is required to demonstrate to the Competition Authority that the Buyer meets the required Buyer requirements and that the Transferred Assets are transferred in accordance with the Injunctions and the Decision. For the purposes of this approval, the Competition Authority must verify that the Buyer meets the required Buyer requirements and that the Transferred Assets are transferred in accordance with the Injunctions.</w:t>
      </w:r>
    </w:p>
    <w:p>
      <w:r>
        <w:t xml:space="preserve">The Mandataire  </w:t>
        <w:br/>
        <w:t xml:space="preserve">4 (a) Designation Procedure  </w:t>
        <w:br/>
        <w:t xml:space="preserve">Cofigeo will designate a Mandataire chargé du Contrôle to perform the functions specified in these Injunctions. If Cofigeo has not concluded a Transfer Agreement within one (1) month before the end of the First transfer period or if the Competition Authority has rejected a Buyer proposed by Cofigeo at that date or thereafter, Cofigeo will designate a Mandataire chargé de la Cession to perform the functions specified in these Injunctions. The designation of the Mandataire chargé de la Cession will take effect at the beginning of the Intervention Phase of the Mandataire chargé de la Cession.  </w:t>
        <w:br/>
        <w:t>The Mandataire chargé du Contrôle and, if applicable, the Mandataire chargé de la Cession must be independent of Cofigeo, possess the necessary qualifications to fulfill their mandate, and must not create or become subject to a conflict of interest. Each Mandataire will be compensated by Cofigeo under terms that do not impair the independent and effective performance of their duties.</w:t>
      </w:r>
    </w:p>
    <w:p>
      <w:r>
        <w:t xml:space="preserve">(i) Proposal by Cofigeo  </w:t>
        <w:br/>
        <w:t xml:space="preserve">No later than two (2) weeks after the Effective Date, Cofigeo will submit to the Authority, for approval, a list of at least three (3) individuals that Cofigeo proposes to designate as Mandataire chargé du Contrôle. If applicable, no later than one (1) month before the end of the First transfer period, Cofigeo will submit to the Authority, for approval, a list of at least three (3) individuals that Cofigeo proposes to designate as Mandataire chargé de la Cession, it being noted that the Mandataire chargé du Contrôle and the Mandataire chargé de la Cession may be the same individuals.  </w:t>
        <w:br/>
        <w:t xml:space="preserve">The proposal must include sufficient information to allow the Competition Authority to verify that the proposed Mandataire meets the conditions detailed above and must include:  </w:t>
        <w:br/>
        <w:t xml:space="preserve">- the full text of the draft mandate, including all necessary provisions to enable the Mandataire to perform its functions under the Injunctions;  </w:t>
        <w:br/>
        <w:t xml:space="preserve">- the draft work plan describing how the Mandataire intends to carry out its mission;  </w:t>
        <w:br/>
        <w:t>- an indication of whether the proposed Mandataire is intended to act as both Mandataire chargé du Contrôle and Mandataire chargé de la Cession or if two distinct Mandataires are proposed for the two functions.</w:t>
      </w:r>
    </w:p>
    <w:p>
      <w:r>
        <w:t xml:space="preserve">(ii) Approval or rejection by the Authority  </w:t>
        <w:br/>
        <w:t>The Competition Authority will have discretion to approve or reject the proposed Mandataire and to approve the proposed mandate, subject to any modifications it deems necessary for the fulfillment of its obligations. If only one name is approved, Cofigeo must designate or have designated the individual or legal entity concerned as</w:t>
      </w:r>
    </w:p>
    <w:p>
      <w:r>
        <w:rPr>
          <w:b/>
        </w:rPr>
        <w:t>[Pages 88–90]</w:t>
      </w:r>
    </w:p>
    <w:p>
      <w:r>
        <w:t>Mandataire, according to the terms of the mandate approved by the Competition Authority. If several names are approved, Cofigeo will be free to choose the Mandataire to be designated from among the approved names. The Mandataire will be designated within one (1) week following the approval of the Competition Authority according to the terms of the mandate approved by the Competition Authority.</w:t>
      </w:r>
    </w:p>
    <w:p>
      <w:r>
        <w:t xml:space="preserve">(iii) New proposal by Cofigeo  </w:t>
        <w:br/>
        <w:t>If all proposed Mandataires are rejected, Cofigeo will submit the names of at least two (2) other individuals or legal entities within one (1) week from the date it is informed of the rejection by the Competition Authority, according to the conditions and procedure described in the above paragraphs.</w:t>
      </w:r>
    </w:p>
    <w:p>
      <w:r>
        <w:t xml:space="preserve">(iv) Mandataire(s) designated by the Competition Authority  </w:t>
        <w:br/>
        <w:t>If all Mandataires proposed in the new proposal mentioned in (iii) are rejected by the Competition Authority, the latter will designate one or more Mandataire(s) that Cofigeo will appoint or have appointed according to the terms of a mandate approved by the Competition Authority.</w:t>
      </w:r>
    </w:p>
    <w:p>
      <w:r>
        <w:t xml:space="preserve">4 (b) Missions of the Mandataire  </w:t>
        <w:br/>
        <w:t>The Mandataire will assume its specific obligations in order to ensure compliance with the Injunctions. The Competition Authority may, on its own initiative or at the request of the Mandataire or Cofigeo, give any order or instruction to the Mandataire to ensure compliance with the conditions and obligations arising from the Decision.</w:t>
      </w:r>
    </w:p>
    <w:p>
      <w:r>
        <w:t xml:space="preserve">(i) Duties and obligations of the Mandataire in charge of Control  </w:t>
        <w:br/>
        <w:t xml:space="preserve">The Mandataire in charge of Control must:  </w:t>
        <w:br/>
        <w:t xml:space="preserve">- propose in its first report to the Competition Authority a detailed work plan describing how it intends to verify compliance with the obligations and conditions resulting from the Decision;  </w:t>
        <w:br/>
        <w:t xml:space="preserve">- supervise the ongoing management of the divested assets to ensure the preservation of the economic viability, market value, and competitiveness of the Divested Assets, as well as compliance with other obligations resulting from the Decision:  </w:t>
        <w:br/>
        <w:t xml:space="preserve">  o ensure the preservation of the economic viability, market value, and competitiveness of the Divested Assets, as well as the separation of these from the assets retained by Cofigeo;  </w:t>
        <w:br/>
        <w:t xml:space="preserve">  o control the management of the Divested Assets as distinct entities capable of being divested;  </w:t>
        <w:br/>
        <w:t xml:space="preserve">  o in consultation with Cofigeo, (i) determine all necessary measures to ensure that Cofigeo cannot, after the Effective Date, obtain any trade secrets, know-how, business information, or any other confidential or protected information regarding the Divested Assets; and (ii) decide whether such information may be disclosed to Cofigeo to the extent necessary to allow Cofigeo to implement the divestiture or to the extent such disclosure is required by law;  </w:t>
        <w:br/>
        <w:t xml:space="preserve">- assume other missions assigned to the Mandataire in charge of Control in accordance with the conditions and obligations of the Decision;  </w:t>
        <w:br/>
        <w:t xml:space="preserve">- propose to Cofigeo the measures that the Mandataire in charge of Control deems necessary to ensure Cofigeo's compliance with the conditions and obligations arising from the Decision, particularly the maintenance of the viability, market value, or competitiveness of the Divested Assets;  </w:t>
        <w:br/>
        <w:t xml:space="preserve">- examine and evaluate potential acquirers as well as the status of the Divestiture Procedure and verify, based on the status of this Divestiture Procedure, that potential acquirers receive sufficient information about the Divested Assets and the Personnel, particularly by reviewing, if these documents are available, the documentation contained in the data room, the information notes, and the due diligence process provided for under the terms of the Injunctions;  </w:t>
        <w:br/>
        <w:t xml:space="preserve">- provide, within fifteen (15) days following the end of each month, a written report to the Competition Authority, simultaneously transmitting a non-confidential version of this report to Cofigeo within the same timeframe. This report will cover the operation and management of the Divested Assets so that the Competition Authority can examine whether these assets are managed in accordance with the Injunctions, the status of the Divestiture Procedure, as well as the main characteristics of the Potential Acquirers. In addition to these reports, the Mandataire in charge of Control will inform the Competition Authority, in writing and without delay, simultaneously transmitting a non-confidential version of the documents sent to the Competition Authority to Cofigeo, if it considers, based on reasonably justified elements, that Cofigeo is failing to comply with the Injunctions;  </w:t>
        <w:br/>
        <w:t>- within one (1) week from the receipt of the documented proposal of Potential Acquirers, submit to the Competition Authority a reasoned opinion assessing the appropriateness and independence of the proposed acquirer, the viability of the Divested Assets after the divestiture, and the compliance of the proposal with the conditions and obligations of the Decision.</w:t>
      </w:r>
    </w:p>
    <w:p>
      <w:r>
        <w:t xml:space="preserve">(ii) Duties and obligations of the Mandataire in charge of the Divestiture  </w:t>
        <w:br/>
        <w:t xml:space="preserve">During the Intervention Phase of the Mandataire in charge of the Divestiture, it must sell, without a minimum price being set, the Divested Assets to the Acquirer, as soon as the Competition Authority has approved the Acquirer and the Divestiture Agreement according to the procedure outlined above. The Mandataire in charge of the Divestiture will include in the Divestiture Agreement all terms and conditions it deems appropriate for concluding a quick sale during the Intervention Phase of the Mandataire in charge of the Divestiture. In particular, the Mandataire in charge of the Divestiture may include in the Divestiture Agreement all usual representations regarding the state of the business, warranties, and indemnities required to effect the divestiture. The Mandataire in charge of the Divestiture will protect the legitimate financial interests of Cofigeo subject to Cofigeo's unconditional obligation to proceed with the divestiture.  </w:t>
        <w:br/>
        <w:t>During the Intervention Phase of the Mandataire in charge of the Divestiture or, if applicable, at the request of the Competition Authority, the Mandataire in charge of the Divestiture will provide the Competition Authority with a detailed monthly report on the status of the Divestiture Procedure. These reports will be submitted within fifteen (15) days following the end of each month, with a copy being sent simultaneously and within the same timeframe to the Mandataire in charge of Control and a non-confidential version to Cofigeo.</w:t>
      </w:r>
    </w:p>
    <w:p>
      <w:r>
        <w:t xml:space="preserve">4 (c) Duties and obligations of Cofigeo  </w:t>
        <w:br/>
        <w:t xml:space="preserve">Cofigeo, directly or through its advisors, will provide the Mandataires with cooperation and assistance and will furnish them with any information reasonably required by the Mandataires for the performance of their tasks. The Mandataires will have full access to all accounting books, records, documents, members of management or staff, infrastructures, sites, and technical information of Cofigeo or the Divested Assets that would be necessary for the performance of their duties under the Injunctions. Cofigeo will provide the Mandataires, upon their request, with copies of any document. Cofigeo will make available to the Mandataires one or more offices within its premises and must be available for meetings to provide the Mandataires with the information necessary for the execution of their mission.  </w:t>
        <w:br/>
        <w:t xml:space="preserve">Cofigeo will provide the Mandataire in charge of Control with any administrative and management assistance that the latter may reasonably require for the management of the Divested Assets. This may include administrative support functions related to the Divested Assets that are currently performed at the headquarters level. Cofigeo will provide and have its advisors provide the Mandataire in charge of Control, upon request, with the information provided to potential acquirers, particularly the "data room" documentation, and any other information made available to potential acquirers as part of the due diligence process. Cofigeo will inform the Mandataire in charge of Control about potential acquirers, provide a list of these acquirers, and keep the Mandataire in charge of Control informed of any developments in the divestiture procedure.  </w:t>
        <w:br/>
        <w:t xml:space="preserve">During the Intervention Phase of the Mandataire in charge of the Divestiture, Cofigeo will grant or have its subsidiaries grant the Mandataire in charge of the divestiture all necessary powers, duly authenticated, to carry out the divestiture, the Closing, and all actions and statements that the Mandataire in charge of the divestiture deems necessary or appropriate for the purpose of completing the divestiture or the Closing, including the appointment of advisors to assist it in the divestiture process. At the request of the Mandataire in charge of the divestiture, Cofigeo will take all necessary legal measures to ensure that the documents required to effect the transfers and the Closing are duly authenticated.  </w:t>
        <w:br/>
        <w:t>Cofigeo will indemnify the Mandataires as well as their employees and agents (individually a "indemnified party") and will hold each indemnified party harmless against any liability arising from the performance of the Mandataire's functions under the Injunctions, except to the extent that such liability results from willful misconduct, negligence, fault, or bad faith of the Mandataires, their employees, or their advisors and agents.</w:t>
      </w:r>
    </w:p>
    <w:p>
      <w:r>
        <w:rPr>
          <w:b/>
        </w:rPr>
        <w:t>[Pages 91–92]</w:t>
      </w:r>
    </w:p>
    <w:p>
      <w:r>
        <w:t>At Cofigeo's expense, the Mandataries may appoint advisors (particularly for legal or financial advice), subject to Cofigeo's agreement (which may not unreasonably oppose or delay its agreement without justification) as long as they consider this appointment necessary or appropriate for the fulfillment of their duties and obligations under the mandate, and provided that the expenses incurred by the Mandataries on this occasion are reasonable. If Cofigeo refuses to approve the advisors proposed by the Mandataries, the Competition Authority may, after hearing Cofigeo, approve the appointment of the advisors in its place. The Mandataries shall be solely authorized to transmit instructions to these advisors.</w:t>
      </w:r>
    </w:p>
    <w:p>
      <w:r>
        <w:t>4 (d) Replacement, discharge, and renewal of the Mandatary</w:t>
        <w:br/>
        <w:t>If a Mandatary ceases to perform its functions under the Injunctions or for any other legitimate reason, including for reasons of conflict of interest of the Mandatary:</w:t>
        <w:br/>
        <w:t>- the Competition Authority may, after hearing the Mandatary, require Cofigeo to replace the Mandatary; or</w:t>
        <w:br/>
        <w:t>- Cofigeo may, with the prior authorization of the Competition Authority, replace the Mandatary in question.</w:t>
      </w:r>
    </w:p>
    <w:p>
      <w:r>
        <w:t>The revoked Mandatary may be required to continue to perform its functions until a new Mandatary, to whom the revoked Mandatary has transferred all relevant information and documents, is in office. The new Mandatary will be appointed according to the procedure mentioned in point 4 (a).</w:t>
      </w:r>
    </w:p>
    <w:p>
      <w:r>
        <w:t>Apart from the case of revocation described above, the Mandatary may only cease to act as Mandatary after the Competition Authority has discharged it from its functions, once all the injunctions for which the Mandatary in question was responsible have been fulfilled. However, the Competition Authority may at any time request that the Mandatary in charge of oversight be reappointed if it believes that the relevant injunctions have not been fully or correctly implemented.</w:t>
      </w:r>
    </w:p>
    <w:p>
      <w:r>
        <w:t>Review Clause</w:t>
        <w:br/>
        <w:t>5 In the event of new or exceptional circumstances, the Authority may at any time, in response to a written and reasoned request from Cofigeo accompanied by a report from the Mandatary in charge of Oversight, lift, modify, or replace the present Injunctions.</w:t>
      </w:r>
    </w:p>
    <w:p>
      <w:r>
        <w:t>DECIDES</w:t>
        <w:br/>
        <w:t>Single Article: The operation notified under number 17-077 is authorized subject to compliance with the injunctions numbered 1 to 5 set forth from paragraph 489 of this decision.</w:t>
      </w:r>
    </w:p>
    <w:p>
      <w:r>
        <w:t>Deliberated on the oral report of Ms. Sara Darley-Reygner, Mr. Aulne Abeille, Mr. Jérôme Vidal, Mr. Cédric Nouel de Buzonnière, rapporteurs, and the intervention of Mr. Étienne Chantrel, deputy general rapporteur, by Ms. Isabelle de Silva, president, Ms. Élisabeth Flüry-Hérard, Ms. Fabienne Siredey-Garnier, Mr. Emmanuel Combe, and Mr. Thierry Dahan, vice-presidents, Ms. Pierrette Pinot and Mr. Olivier d’Ormesson, members.</w:t>
      </w:r>
    </w:p>
    <w:p>
      <w:r>
        <w:t>For the session secretary, The president,</w:t>
        <w:br/>
        <w:t>Thierry Poncelet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