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https://www.autoritedelaconcurrence.fr/fr/decision-de-controle-des-concentrations/relative-la-prise-de-controle-exclusif-groupe-platinum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23-DCC-139 of July 18, 2023  </w:t>
        <w:br/>
        <w:t xml:space="preserve">regarding the exclusive control acquisition of the Platinum Invest group by the  </w:t>
        <w:br/>
        <w:t xml:space="preserve">LVMH group  </w:t>
        <w:br/>
        <w:t xml:space="preserve">The Competition Authority,  </w:t>
        <w:br/>
        <w:t xml:space="preserve">Having regard to the complete notification file sent to the mergers department on June 21, 2023  </w:t>
        <w:br/>
        <w:t xml:space="preserve">concerning the exclusive control acquisition of the Platinum Invest group by the LVMH group, formalized  </w:t>
        <w:br/>
        <w:t xml:space="preserve">by a share transfer agreement dated March 20,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LVMH group of the Platinum  </w:t>
        <w:br/>
        <w:t xml:space="preserve">Invest group, both active in the sector of manufacturing and supplying jewelry products. The  </w:t>
        <w:br/>
        <w:t xml:space="preserve">notified operation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 </w:t>
        <w:br/>
        <w:t xml:space="preserve">retail control thresholds mentioned in 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23-107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