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https://www.autoritedelaconcurrence.fr/fr/decision-de-controle-des-concentrations/relative-la-prise-de-controle-exclusif-par-american</w:t>
      </w:r>
    </w:p>
    <w:p>
      <w:r>
        <w:t>Pages translated : 4</w:t>
      </w:r>
    </w:p>
    <w:p/>
    <w:p>
      <w:r>
        <w:rPr>
          <w:b/>
        </w:rPr>
        <w:t>[Pages 1–3]</w:t>
      </w:r>
    </w:p>
    <w:p>
      <w:r>
        <w:t xml:space="preserve">FRENCH REPUBLIC  </w:t>
        <w:br/>
        <w:t xml:space="preserve">Decision No. 12-DCC-50 of May 7, 2012  </w:t>
        <w:br/>
        <w:t xml:space="preserve">regarding the exclusive control by American Industrial Acquisition Corporation of assets of Novelis Inc.  </w:t>
        <w:br/>
        <w:t xml:space="preserve">The Competition Authority,  </w:t>
        <w:br/>
        <w:t xml:space="preserve">Having regard to the concentration file submitted in full to the concentrations service on March 30, 2012, regarding the acquisition of control by American Industrial Acquisition Corporation of assets of Novelis Inc.;  </w:t>
        <w:br/>
        <w:t xml:space="preserve">Having regard to Book IV of the Commercial Code relating to the freedom of prices and competition, and in particular its Articles L.430-1 to L.430-7;  </w:t>
        <w:br/>
        <w:t xml:space="preserve">Adopts the following decision:  </w:t>
        <w:br/>
        <w:t xml:space="preserve">I. The companies concerned and the transaction  </w:t>
        <w:br/>
        <w:t xml:space="preserve">1. American Industrial Acquisition Corporation (hereinafter "AIAC") is a company under American law, registered in the State of Delaware. It is controlled by Mr. Leonard Levie, who holds […] % of its capital [Confidential]. AIAC holds a portfolio of investments in companies, spread across thirteen countries, present in the sectors of petrochemicals, mining, metallurgy, aerospace, medical equipment, construction, automotive, food preservation and cooking, energy production, and defense. AIAC thus controls the company Compagnie Alpine d’Aluminium, which produces discs and standard aluminum sheets for culinary articles, automotive, and lighting, as well as lacquered aluminum strips for construction, transportation, and industry.  </w:t>
        <w:br/>
        <w:t>2. Novelis Inc, a subsidiary of the Indian group Aditya Birla, notably owns three production sites located in Rugles, France (owned by Novelis Foil France SAS), in Dudelange, Luxembourg (owned by Novelis Luxembourg SA), and in Berlin, Germany. The production sites in Rugles and Dudelange manufacture thin aluminum sheets, while the Berlin site produces flexible packaging.</w:t>
      </w:r>
    </w:p>
    <w:p>
      <w:r>
        <w:t xml:space="preserve">3. The transaction, formalized by a binding offer dated March 1, 2012, involves the acquisition by AIAC of the entire share capital and voting rights of the companies Novelis Foil France SAS and Novelis Luxembourg SAS, as well as the production site located in Berlin (collectively "the target"), through a newly created company. As it results in the exclusive control of the target, the transaction constitutes a concentration within the meaning of Article L.430-1 of the Commercial Code.  </w:t>
        <w:br/>
        <w:t xml:space="preserve">4. The companies concerned have together achieved a consolidated worldwide turnover, excluding taxes, of more than 150 million euros in the last closed financial year (AIAC: […] million euros for the financial year ended December 31, 2011; the target: […] million euros for the last financial year). Each of these companies has achieved, in France, a turnover exceeding 50 million euros (AIAC: […] million euros for the financial year ended December 31, 2011; the target: […] million euros for the last financial year). Given these turnover figures, the transaction does not have a community dimension. However, the control thresholds related to retail trade mentioned in point I of Article L. 430-2 of the Commercial Code are exceeded. The present transaction is therefore subject to the provisions of Articles L. 430-3 and following of the Commercial Code relating to economic concentration.  </w:t>
        <w:br/>
        <w:t xml:space="preserve">II. Definition of the relevant markets  </w:t>
        <w:br/>
        <w:t xml:space="preserve">5. Aluminum is produced from bauxite ore which, transformed by chemical process into alumina, allows for the production of primary aluminum. This is then used in the manufacture of semi-finished products, notably by rolling or extrusion.  </w:t>
        <w:br/>
        <w:t xml:space="preserve">6. In this sector, community practice distinguishes (i) an upstream market for aluminum production, (ii) a market for semi-finished aluminum products (such as flat rolled products or extruded products), and (iii) downstream markets for the production of aluminum packaging products.  </w:t>
        <w:br/>
        <w:t xml:space="preserve">7. In the production of semi-finished aluminum products, practice has identified the existence of a segment of flat rolled products ("FRP") which are manufactured through successive stages in hot and cold rolling mills. It is thus possible to distinguish between seven types of products: (i) aluminum sheets for food cans, (ii) lithographic sheets, (iii) automotive sheets, (iv) aluminum can bodies, (v) aluminum can ends, (vi) thin aluminum foils, and (vii) standard flat rolled products, which encompass all rolled products that do not fall into another category.  </w:t>
        <w:br/>
        <w:t xml:space="preserve">8. The markets for the manufacture of rolled products have a geographical dimension that covers at least the European Economic Area. The parties have, however, also provided data at the national level.  </w:t>
        <w:br/>
        <w:t xml:space="preserve">9. In this case, the parties are simultaneously active in the flat rolled products market, but in distinct segments. Thus, the target is active in the segment of thin aluminum sheets while AIAC is active in the production of standard flat rolled products through Compagnie Alpine d’Aluminium. Furthermore, only the target is present in the packaging products sector, through its production site in Berlin.  </w:t>
        <w:br/>
        <w:t xml:space="preserve">III. Competitive analysis  </w:t>
        <w:br/>
        <w:t xml:space="preserve">10. In the market for flat rolled products, the only market where the parties' activities overlap, the new entity will hold a market share of [0-5]% at the European level and [0-5]% in France. In the segment of thin aluminum sheets, the new entity will hold a market share of [5-10]% in the European Economic Area and its share in a market that would be limited to France would be of the same order of magnitude. In the segment of standard rolled products, the new entity will hold a market share of approximately [0-5]% at the European level and [5-10]% in France.  </w:t>
        <w:br/>
        <w:t>11. Consequently, the transaction is not likely to harm competition.</w:t>
      </w:r>
    </w:p>
    <w:p>
      <w:r>
        <w:rPr>
          <w:b/>
        </w:rPr>
        <w:t>[Pages 4–4]</w:t>
      </w:r>
    </w:p>
    <w:p>
      <w:r>
        <w:t xml:space="preserve">DECIDES  </w:t>
        <w:br/>
        <w:t xml:space="preserve">Sole Article: The transaction notified under number 12-053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