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https://www.autoritedelaconcurrence.fr/fr/decision-de-controle-des-concentrations/relative-la-prise-de-controle-exclusif-par-azulis-capital</w:t>
      </w:r>
    </w:p>
    <w:p>
      <w:r>
        <w:t>Pages translated : 2</w:t>
      </w:r>
    </w:p>
    <w:p/>
    <w:p>
      <w:r>
        <w:rPr>
          <w:b/>
        </w:rPr>
        <w:t>[Pages 1–2]</w:t>
      </w:r>
    </w:p>
    <w:p>
      <w:r>
        <w:t xml:space="preserve">FRENCH REPUBLIC  </w:t>
        <w:br/>
        <w:t xml:space="preserve">Decision No. 14-DCC-114 of August 6, 2014  </w:t>
        <w:br/>
        <w:t xml:space="preserve">regarding the exclusive control acquisition by Azulis Capital SA  </w:t>
        <w:br/>
        <w:t xml:space="preserve">of the company Bergame Finances SAS  </w:t>
        <w:br/>
        <w:t xml:space="preserve">The Competition Authority,  </w:t>
        <w:br/>
        <w:t xml:space="preserve">Having regard to the complete notification file submitted to the mergers department on July 17, 2014  </w:t>
        <w:br/>
        <w:t xml:space="preserve">concerning the exclusive control acquisition of the company Bergame Finances SAS by Azulis Capital  </w:t>
        <w:br/>
        <w:t xml:space="preserve">SA, materialized by a share transfer agreement dated July 15,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professional private equity fund Middle Market Fund IV, managed by Azulis Capital SA, of the group Bergame Finances, primarily active in the electrical engineering sector, which includes activities related to the design, installation, and connection of electrical equipment, and in the climate engineering sector which includes activities related to the design, installation, and regulation of equipment and systems related to air treatment. This operation constitutes a concentration within the meaning of Article L. 430-1 of the Commercial Code. Given the turnover achieved by the companies concerned, the operation does not have a community dimension. On the other hand, the control thresholds related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14-127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