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https://www.autoritedelaconcurrence.fr/fr/decision-de-controle-des-concentrations/relative-la-prise-de-controle-exclusif-par-casino-guichard</w:t>
      </w:r>
    </w:p>
    <w:p>
      <w:r>
        <w:t>Pages translated : 7</w:t>
      </w:r>
    </w:p>
    <w:p/>
    <w:p>
      <w:r>
        <w:rPr>
          <w:b/>
        </w:rPr>
        <w:t>[Pages 1–3]</w:t>
      </w:r>
    </w:p>
    <w:p>
      <w:r>
        <w:t xml:space="preserve">FRENCH REPUBLIC  </w:t>
        <w:br/>
        <w:t xml:space="preserve">Decision No. 14-DCC-83 of June 17, 2014  </w:t>
        <w:br/>
        <w:t xml:space="preserve">regarding the exclusive control by Casino Guichard-Perrachon  </w:t>
        <w:br/>
        <w:t xml:space="preserve">of the company PLMP  </w:t>
        <w:br/>
        <w:t xml:space="preserve">The Competition Authority,  </w:t>
        <w:br/>
        <w:t xml:space="preserve">Having regard to the notification file submitted in full to the merger service on May 20, 2014,  </w:t>
        <w:br/>
        <w:t xml:space="preserve">regarding the exclusive control by Casino Guichard-Perrachon, via the company Germinal,  </w:t>
        <w:br/>
        <w:t xml:space="preserve">of the company PLMP formalized by a memorandum of understanding dated May 15, 2014;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Casino Guichard-Perrachon (hereinafter "Casino") is the company at the head of the Casino group,  </w:t>
        <w:br/>
        <w:t xml:space="preserve">the fourth largest French operator in retail distribution with a food focus. As of December 31, 2013, Casino managed  </w:t>
        <w:br/>
        <w:t xml:space="preserve">a network of over 14,000 stores worldwide, approximately 10,000 of which are in France (hypermarkets,  </w:t>
        <w:br/>
        <w:t xml:space="preserve">supermarkets, small convenience stores, discount stores) under the brands Géant Casino, Casino Supermarchés,  </w:t>
        <w:br/>
        <w:t xml:space="preserve">Franprix, Petit Casino, Spar, Vival, Casitalia, and Leader Price. Casino also manages the supply of its  </w:t>
        <w:br/>
        <w:t xml:space="preserve">brands through EMC Distribution, its purchasing center, responsible for negotiating purchasing conditions with suppliers,  </w:t>
        <w:br/>
        <w:t xml:space="preserve">Comacas, which supplies the stores, and Easydis, responsible for warehousing and transporting goods. Casino  </w:t>
        <w:br/>
        <w:t xml:space="preserve">is also present in four other business sectors: non-food e-commerce, real estate, banking services, and catering.  </w:t>
        <w:br/>
        <w:t xml:space="preserve">2. PLMP is a French law company that operates 17 food-dominant points of sale located in the departments of  </w:t>
        <w:br/>
        <w:t xml:space="preserve">Finistère and Côtes d’Armor, of which thirteen are under the Casino Supermarché brand and four under the Spar brand.  </w:t>
        <w:br/>
        <w:t xml:space="preserve">Fifteen of these business premises have an area greater than 400 m², while the other two have an area less than 400 m².  </w:t>
        <w:br/>
        <w:t xml:space="preserve">PLMP is currently 66.18% owned by H2J Magasins (owned by the X family) and 33.75% by Casino1. Pursuant to a  </w:t>
        <w:br/>
        <w:t xml:space="preserve">shareholders' agreement dated December 26, 2007, concluded between the X family and Casino, the latter holds a veto right  </w:t>
        <w:br/>
        <w:t xml:space="preserve">concerning notably (i) the conclusion, modification, or termination of any commercial lease or real estate leasing contract,  </w:t>
        <w:br/>
        <w:t xml:space="preserve">(ii) the conclusion or termination of any exclusivity, franchise, brand, or supply contract. As a result, Casino and the  </w:t>
        <w:br/>
        <w:t xml:space="preserve">X family held, prior to the transaction, joint control over PLMP.  </w:t>
        <w:br/>
        <w:t xml:space="preserve">3. Under the memorandum of understanding dated May 15, 2014, Casino will hold 99.99% of the capital and voting rights  </w:t>
        <w:br/>
        <w:t xml:space="preserve">of PLMP. As it results in the transition from joint control to exclusive control by Casino over PLMP, the transaction constitutes  </w:t>
        <w:br/>
        <w:t xml:space="preserve">a concentration operation within the meaning of Article L. 430-1 of the Commercial Code.  </w:t>
        <w:br/>
        <w:t xml:space="preserve">4. The concerned companies operate several retail stores and together generate a total worldwide turnover of more than  </w:t>
        <w:br/>
        <w:t xml:space="preserve">75 million euros (Casino: 48.645 billion euros for the fiscal year ending December 31, 2013; PLMP: […] million euros for  </w:t>
        <w:br/>
        <w:t xml:space="preserve">the fiscal year ending December 31, 2013). They generate in France, in the retail sector, a turnover exceeding 15 million euros  </w:t>
        <w:br/>
        <w:t xml:space="preserve">(Casino: 19.492 billion euros for the fiscal year ending December 31, 2013; PLMP: […] million euros for the fiscal year ending  </w:t>
        <w:br/>
        <w:t xml:space="preserve">December 31, 2013). Given these turnover figures, the operation does not fall under the jurisdiction of the European Union.  </w:t>
        <w:br/>
        <w:t xml:space="preserve">On the other hand, the control thresholds mentioned in II of Article L. 430-2 of the Commercial Code are exceeded. This  </w:t>
        <w:br/>
        <w:t xml:space="preserve">operation is therefore subject to the provisions of Articles L. 430-3 and following of the Commercial Code relating to economic  </w:t>
        <w:br/>
        <w:t xml:space="preserve">concentration.  </w:t>
        <w:br/>
        <w:t xml:space="preserve">II. Delimitation of relevant markets  </w:t>
        <w:br/>
        <w:t xml:space="preserve">5. According to consistent decision-making practice2, two categories of markets can be delineated in the food-dominant  </w:t>
        <w:br/>
        <w:t xml:space="preserve">distribution sector. These are, on the one hand, the "downstream" markets, which bring together retail companies and consumers  </w:t>
        <w:br/>
        <w:t xml:space="preserve">for the sale of consumer goods, and, on the other hand, the "upstream" markets for supplying retail companies with everyday  </w:t>
        <w:br/>
        <w:t xml:space="preserve">consumer goods.  </w:t>
        <w:br/>
        <w:t xml:space="preserve">1 The residual part of the capital is held by the X family (0.06%) and ITM Entreprises (0.01%)  </w:t>
        <w:br/>
        <w:t xml:space="preserve">2 See notably the decisions of the Commission in cases M.1221 Rewe/Meinl of February 3, 1999, M.1684 Carrefour/Promodès of  </w:t>
        <w:br/>
        <w:t xml:space="preserve">January 25, 2000, and M.2115 Carrefour/GB of September 28, 2000. See also decision No. 13-DCC-90 of July 11, 2013,  </w:t>
        <w:br/>
        <w:t xml:space="preserve">regarding the exclusive control of the company Monoprix by the company Casino Guichard-Perrachon.  </w:t>
        <w:br/>
        <w:t>2</w:t>
      </w:r>
    </w:p>
    <w:p>
      <w:r>
        <w:t xml:space="preserve">A. DOWNSTREAM MARKETS OF DISTRIBUTION  </w:t>
        <w:br/>
        <w:t xml:space="preserve">1. SERVICE MARKETS  </w:t>
        <w:br/>
        <w:t xml:space="preserve">6. Regarding the retail sale of everyday consumer goods, competition authorities, both at the community and national levels,  </w:t>
        <w:br/>
        <w:t xml:space="preserve">have distinguished six categories of commerce using several criteria, notably the size of the stores, their sales techniques,  </w:t>
        <w:br/>
        <w:t xml:space="preserve">their accessibility, the nature of the service provided, and the range of products offered: (i) hypermarkets, (ii) supermarkets,  </w:t>
        <w:br/>
        <w:t xml:space="preserve">(iii) specialized trade, (iv) small retail trade, (v) discount stores, (vi) mail-order sales.  </w:t>
        <w:br/>
        <w:t xml:space="preserve">7. Hypermarkets are usually defined as food-dominant stores with a sales area equal to or greater than 2,500 m²,  </w:t>
        <w:br/>
        <w:t xml:space="preserve">supermarkets as food-dominant stores with a sales area less than 2,500 m² and greater than 400 m², and  </w:t>
        <w:br/>
        <w:t xml:space="preserve">convenience stores as food-dominant stores with a sales area4 less than 400 m² and greater than 120 m².  </w:t>
        <w:br/>
        <w:t xml:space="preserve">8. Competition authorities consider that, while each category of store retains its specificity, there is asymmetric competition  </w:t>
        <w:br/>
        <w:t xml:space="preserve">between certain of these categories. Indeed, while the service provided overall by hypermarkets (product diversity, depth of ranges,  </w:t>
        <w:br/>
        <w:t xml:space="preserve">accessibility, low prices) is specific and not provided by any other form of commerce, the size criterion that determines,  </w:t>
        <w:br/>
        <w:t xml:space="preserve">between supermarkets and hypermarkets, the extent of the assortment of ranges must be used in each case with caution,  </w:t>
        <w:br/>
        <w:t xml:space="preserve">stores whose area is near the threshold that serves to distinguish them (2,500 m²), whether below or above, may find themselves,  </w:t>
        <w:br/>
        <w:t xml:space="preserve">in practice, in direct competition. Therefore, the conditions under which the market actually operates are taken into account,  </w:t>
        <w:br/>
        <w:t xml:space="preserve">notably the fact that, in a number of geographical configurations, a hypermarket may be habitually used by certain consumers  </w:t>
        <w:br/>
        <w:t xml:space="preserve">as a convenience store, in substitution for a supermarket. On the other hand, the reverse is almost never verified and is even less so  </w:t>
        <w:br/>
        <w:t xml:space="preserve">the larger the hypermarket in question. Consequently, the analysis is conducted5 on a market including only hypermarkets and a  </w:t>
        <w:br/>
        <w:t xml:space="preserve">market including supermarkets and equivalent forms of commerce (hypermarkets, hard discount, and popular stores) excluding  </w:t>
        <w:br/>
        <w:t xml:space="preserve">small retail trade (less than 400 m²).  </w:t>
        <w:br/>
        <w:t xml:space="preserve">9. In this case, among the 17 target stores, fifteen of them have an area between 400 m² and 2,500 m², while the other two have an area  </w:t>
        <w:br/>
        <w:t xml:space="preserve">between 120 and 400 m².  </w:t>
        <w:br/>
        <w:t xml:space="preserve">3 See notably the decisions of the Minister of Economy, Finance, and Industry in the sector: C.2008-32 Amidis SAGC of July 9, 2008,  </w:t>
        <w:br/>
        <w:t xml:space="preserve">C.2007-172 Carrefour Plane Plamidis of February 13, 2008, C.2007-154 Système U Vergali of December 3, 2007,  </w:t>
        <w:br/>
        <w:t xml:space="preserve">C.2007-05 Carrefour Sofadi of March 26, 2007, C.2006-15 Amidis Hamon of April 14, 2006, C.2005-98 Carrefour Penny Market  </w:t>
        <w:br/>
        <w:t xml:space="preserve">of November 10, 2005. See also decision No. 12-DCC-112 of August 3, 2012, regarding the exclusive control of the company  </w:t>
        <w:br/>
        <w:t xml:space="preserve">SNC Schlecker by the company Système U Centrale Régionale Sud.  </w:t>
        <w:br/>
        <w:t xml:space="preserve">4 See the decision of the Competition Authority No. 12-DCC-112 mentioned above.  </w:t>
        <w:br/>
        <w:t xml:space="preserve">5 See the decisions of the Competition Authority No. 12-DCC-48 of April 6, 2012, regarding the exclusive control of the company  </w:t>
        <w:br/>
        <w:t xml:space="preserve">Sofides by the company ITM Entreprises, No. 12-DCC-63 of May 9, 2012, regarding the exclusive control of the company  </w:t>
        <w:br/>
        <w:t xml:space="preserve">Guyenne et Gascogne SA by the company Carrefour SA, and No. 13-DCC-90 of July 11, 2013, regarding the exclusive control of  </w:t>
        <w:br/>
        <w:t xml:space="preserve">the company Monoprix by the company Casino Guichard-Perrachon.  </w:t>
        <w:br/>
        <w:t>3</w:t>
      </w:r>
    </w:p>
    <w:p>
      <w:r>
        <w:rPr>
          <w:b/>
        </w:rPr>
        <w:t>[Pages 4–6]</w:t>
      </w:r>
    </w:p>
    <w:p>
      <w:r>
        <w:t>2. GEOGRAPHICAL DELIMITATION</w:t>
        <w:br/>
        <w:t>10. It follows from decision-making practice6 that the competitive conditions relating to supermarkets and hypermarkets are assessed in two different areas depending on the size of the stores:</w:t>
        <w:br/>
        <w:t>- a market where consumer demand and the supply of supermarkets and equivalent forms of commerce located within less than 15 minutes of travel time by car meet. These latter forms of commerce may include, in addition to supermarkets, hypermarkets located near consumers and discount stores;</w:t>
        <w:br/>
        <w:t>- a second market where the demand of consumers from an area and the supply of hypermarkets accessible to them within less than 30 minutes of travel by car meet and which are, from their point of view, substitutable among themselves.</w:t>
        <w:br/>
        <w:t>11. The Authority consistently reminds that these delimitations are subject to change on a case-by-case basis, depending on the characteristics of the local area. The attractiveness of stores of the same format may vary according to the density and quality of the commercial equipment in an area. The socio-economic characteristics of the area concerned (population density, economic activity, geography, state of the road network) may also lead to a refinement, in the specific case, of the usual delimitations presented above.</w:t>
        <w:br/>
        <w:t>12. In recent decisions, the Authority had the opportunity to specify that when the target stores are small in size, the relevant catchment area was less than the area defined by a 15-minute drive. Furthermore, in its decision n° 12-DCC-112, without definitively resolving this issue, the Authority examined the effects of the transaction in a catchment area of 10 minutes on foot (or 4 minutes by car) around stores with a surface area of less than 400 m², that is, a maximum radius of 650 meters, with the mode of travel on foot deemed more relevant than the mode of travel by car for calculating the catchment area of the concerned stores located in the city center.</w:t>
        <w:br/>
        <w:t>13. In this case, fifteen of the 17 target stores fall into the category of supermarkets. A catchment area of 15 minutes has therefore been retained around these stores. The other two target stores are convenience stores for which the transaction has been examined in a catchment area of 10 minutes on foot.</w:t>
        <w:br/>
        <w:t>B. UPSTREAM SUPPLY MARKET</w:t>
        <w:br/>
        <w:t>14. Regarding the supply markets, the European Commission7 has recognized the existence of national markets by major product groups, a delimitation followed by national authorities8.</w:t>
        <w:br/>
        <w:t>15. There is no need to challenge this delimitation in the context of the present transaction.</w:t>
        <w:br/>
        <w:t>III. Competitive Analysis</w:t>
        <w:br/>
        <w:t>A. UPSTREAM SUPPLY MARKETS</w:t>
        <w:br/>
        <w:t>16. Regarding the upstream supply markets, the purchases of the entire Casino group represented [5-10]% of the overall supply market in 2012. The share of purchases by the Casino group is less than [10-20]% regardless of the product category considered. The total amount of purchases made by the 17 stores involved in the transaction amounts to […] million euros, which is less than [0-5]% of the amount of purchases made in France in the upstream supply market. Similarly, the share of cumulative purchases of these 17 target stores in each of the markets defined by product category according to decision-making practice is less than [0-5]%. In any case, the 17 stores were already sourcing from the Casino group under franchise agreements concluded with it.</w:t>
        <w:br/>
        <w:t>17. The transaction is therefore not likely to strengthen Casino's purchasing power in the upstream supply markets, regardless of the market segmentation retained.</w:t>
        <w:br/>
        <w:t>B. DOWNSTREAM RETAIL MARKETS OF FOOD DOMINANCE</w:t>
        <w:br/>
        <w:t>18. Seventeen catchment areas are concerned by the transaction. However, the transaction does not result in any overlap of activities in twelve areas. The effects of the transaction will therefore be examined in the remaining five areas, four of which are located in Finistère (Brest, Plouigneau, Plourin-les-Morlaix, Kerlouan) and one in Côtes-d'Armor (Ploubalay). In these five areas where the parties' activities overlap, the target stores are supermarkets.</w:t>
        <w:br/>
        <w:t>19. For two catchment areas, Brest (29) and Ploubalay (22), the cumulative market share of the parties will be less than [20-30]% following the transaction, and the Casino group will continue to face competition from at least five competing distribution groups. The transaction is therefore not likely to harm competition in these two areas. It is therefore necessary to examine the remaining three areas in detail.</w:t>
        <w:br/>
        <w:t>Plouigneau (29)</w:t>
        <w:br/>
        <w:t>20. In the market comprising supermarkets and equivalent forms of commerce located within less than 15 minutes of travel by car from the target store located in Plouigneau, the latter (1,532 m²) represents [5-10]% of the sales areas in the zone. Two other target stores are also present in the area, with surfaces of 1,050 and 744 m² (market shares of [5-10]% and [5-10]% respectively). Casino, which already operates a Géant Casino hypermarket (8,756 m²) and a Monoprix store (442 m²) there, represents [30-40]% of the sales areas in the zone, resulting in a cumulative market share of [40-50]%. However, the Casino group will face competition in this area from four Intermarché stores (cumulative market share of [20-30]%), one Leclerc store ([10-20]%), and one Système U store ([5-10]%).</w:t>
      </w:r>
    </w:p>
    <w:p>
      <w:r>
        <w:t>The target store, geographically isolated, is located near Morlaix and is a 10-minute drive from a Leclerc hypermarket with a surface area of 4,996 m².</w:t>
        <w:br/>
        <w:t>21. Consequently, the transaction is not likely to harm competition in the Plouigneau area.</w:t>
        <w:br/>
        <w:t>Plourin-Les-Morlaix (29)</w:t>
        <w:br/>
        <w:t>22. In the market comprising supermarkets and equivalent forms of commerce located within less than 15 minutes of travel by car from the target store located in Plourin-Les-Morlaix, the latter (1,050 m²) represents [0-5]% of the sales areas in the zone. Two other target stores are also present in the area, with surfaces of 1,532 and 744 m², resulting in respective market shares of [5-10]% and [0-5]%. The Casino group, which already operates a Géant Casino hypermarket (8,756 m²) and a Monoprix store (442 m²) there, represents [30-40]% of the sales areas in the zone, resulting in a cumulative market share of [40-50]%. However, the Casino group will face competition in this area from four Intermarché stores (cumulative market share of [20-30]%), one Leclerc store ([10-20]%), and one Système U store ([5-10]%). The closest competitor to the target store is an Intermarché with a surface area of 2,282 m² located 6 minutes away by car.</w:t>
        <w:br/>
        <w:t>23. The competing points of sale present in the area are capable of exerting significant competitive pressure on the parties' activities, and the transaction is not likely to harm competition in the Plourin-Les-Morlaix area.</w:t>
        <w:br/>
        <w:t>Kerlouan (29)</w:t>
        <w:br/>
        <w:t>24. In the market comprising supermarkets and equivalent forms of commerce located within less than 15 minutes of travel by car from the target store located in Kerlouan, the latter (1,381 m²) represents [10-20]% of the sales areas in the zone. The Casino group, which operates a Hyper Casino hypermarket (2,995 m²) to the south of the area, represents [30-40]% of the sales areas, resulting in a cumulative market share of [50-60]%. However, the Casino group will face competition in this area from two Intermarché stores (cumulative market share of [30-40]%) and one U store ([5-10]%). Furthermore, the geographical location of the target store is isolated, with the only other point of sale controlled by the acquirer, a Hyper Casino hypermarket, located at the edge of the catchment area. Finally, immediately bordering the area corresponding to a 15-minute travel time and in the immediate vicinity of other competing points of sale, there is a Leclerc hypermarket of 3,481 m² which, given its format and proximity, is likely to exert significant competitive pressure on the entity resulting from the concentration.</w:t>
        <w:br/>
        <w:t>25. Given these elements, the transaction is not likely to harm competition in the Kerlouan area.</w:t>
        <w:br/>
        <w:t>***</w:t>
        <w:br/>
        <w:t>26. Consequently, the transaction is not likely to harm competition in the relevant downstream retail markets of food dominance.</w:t>
      </w:r>
    </w:p>
    <w:p>
      <w:r>
        <w:rPr>
          <w:b/>
        </w:rPr>
        <w:t>[Pages 7–7]</w:t>
      </w:r>
    </w:p>
    <w:p>
      <w:r>
        <w:t xml:space="preserve">DECIDES  </w:t>
        <w:br/>
        <w:t xml:space="preserve">Sole Article: The operation notified under number 14-072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