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https://www.autoritedelaconcurrence.fr/fr/decision-de-controle-des-concentrations/relative-la-prise-de-controle-exclusif-par-chausson</w:t>
      </w:r>
    </w:p>
    <w:p>
      <w:r>
        <w:t>Pages translated : 9</w:t>
      </w:r>
    </w:p>
    <w:p/>
    <w:p>
      <w:r>
        <w:rPr>
          <w:b/>
        </w:rPr>
        <w:t>[Pages 1–3]</w:t>
      </w:r>
    </w:p>
    <w:p>
      <w:r>
        <w:t xml:space="preserve">FRENCH REPUBLIC  </w:t>
        <w:br/>
        <w:t xml:space="preserve">Decision No. 13-DCC-96 of July 23, 2013  </w:t>
        <w:br/>
        <w:t>regarding the exclusive control by Chausson Matériaux of 88 business assets held by Wolseley France</w:t>
      </w:r>
    </w:p>
    <w:p>
      <w:r>
        <w:t xml:space="preserve">The Competition Authority,  </w:t>
        <w:br/>
        <w:t xml:space="preserve">Having regard to the notification file submitted in full to the merger service on May 29, 2013, regarding the exclusive control by Chausson Matériaux of 88 business assets held and operated by Wolseley France, formalized by a memorandum of understanding dated March 20, 2013;  </w:t>
        <w:br/>
        <w:t xml:space="preserve">Having regard to Book IV of the Commercial Code relating to the freedom of prices and competition, and in particular Articles L. 430-1 to L. 430-7;  </w:t>
        <w:br/>
        <w:t xml:space="preserve">Having regard to the supplementary elements submitted by the parties during the investigation;  </w:t>
        <w:br/>
        <w:t>Adopts the following decision:</w:t>
      </w:r>
    </w:p>
    <w:p>
      <w:r>
        <w:t xml:space="preserve">I. The companies concerned and the operation  </w:t>
        <w:br/>
        <w:t xml:space="preserve">1. Chausson Matériaux, active in the trade of construction materials, and to a lesser extent in the prefabrication of concrete blocks and the marketing of ready-mixed concrete, is controlled by the Chausson family, through the company Financière CM. Chausson Matériaux is primarily present in the South West, South East, and Central France but also in the North, East, and Île-de-France through its 239 trading agencies under the "Chausson Matériaux" brand and 2 "low-cost" trading agencies under the "Priba Matériaux" brand. Chausson Matériaux is also present in the upstream markets of ready-mixed concrete manufacturing (11 plants), concrete blocks (8 factories), and wooden structures (3 factories).  </w:t>
        <w:br/>
        <w:t xml:space="preserve">2. The 88 business assets (hereinafter referred to as the "target"), which are the subject of the operation, are held and operated by Wolseley France under the Réseau Pro brand in the southern half of France. Wolseley France, a subsidiary of the British group Wolseley, is present in the downstream markets of general trading of construction materials, through 212 agencies under the "Réseau Pro" brand, spread across the Atlantic coast of France, the South East region, and Île-de-France. Wolseley France is also active in the specialized trade of wood, panels, and interior layout (through 39 agencies under the "Panofrance" brand), in the specialized trade of tiles and sanitary ware (via 8 agencies under the Cardor brand), and in the trade of roofing and covering materials (via 9 agencies under the Coverpro brand).  </w:t>
        <w:br/>
        <w:t xml:space="preserve">3. The operation, formalized by a memorandum of understanding dated March 20, 2013, consists of the acquisition by Chausson Matériaux of 88 business assets and constitutes a concentration operation within the meaning of Article L. 430-1 of the Commercial Code.  </w:t>
        <w:br/>
        <w:t>4. The companies concerned together achieve a total worldwide turnover of more than 150 million euros (Chausson Matériaux: 715.137 million euros for 2012; target: […] euros). At least two of these companies achieve a turnover in France exceeding 50 million euros (the aforementioned figures are entirely realized in France).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The parties to this operation are simultaneously active in the construction materials distribution sector. In this sector, the parties are present both upstream, as buyers of materials from manufacturers, and downstream in the market for the distribution of construction materials.</w:t>
      </w:r>
    </w:p>
    <w:p>
      <w:r>
        <w:t xml:space="preserve">1. UPSTREAM MARKETS FOR THE SUPPLY OF CONSTRUCTION MATERIALS  </w:t>
        <w:br/>
        <w:t xml:space="preserve">a) Delimitation by products  </w:t>
        <w:br/>
        <w:t xml:space="preserve">6. The parties purchase, from various producers, the construction materials they distribute.  </w:t>
        <w:br/>
        <w:t xml:space="preserve">7. Regarding the supply of construction materials, the decision-making practice distinguishes as many markets as there are families of products. The structure of supply, pricing dynamics, or manufacturing constraints can indeed vary significantly from one product family to another. In this case, the different products distributed by the parties belong to the following families:  </w:t>
        <w:br/>
        <w:t xml:space="preserve">- structural work and masonry;  </w:t>
        <w:br/>
        <w:t xml:space="preserve">- roofing and waterproofing;  </w:t>
        <w:br/>
        <w:t xml:space="preserve">- wood and panels;  </w:t>
        <w:br/>
        <w:t xml:space="preserve">- structural work and masonry;  </w:t>
        <w:br/>
        <w:t xml:space="preserve">- roofing and waterproofing;  </w:t>
        <w:br/>
        <w:t xml:space="preserve">- wood and panels;  </w:t>
        <w:br/>
        <w:t xml:space="preserve">1 See in particular the decision of the Competition Authority No. 09-DCC-11 of June 2, 2009, regarding the exclusive control of FDE by the SAMSE group. Also see the operations Wolseley/Dafi authorized by letter from the minister on March 13, 2006, and published in the BOCCRF of June 22, 2006, Point P/PUM authorized by letter from the minister on November 7, 2003, and published in the BOCCRF of December 24, 2003, and Point P/Dubois authorized by letter from the minister on July 31, 2003, and published in the BOCCRF of October 1, 2003.  </w:t>
        <w:br/>
        <w:t xml:space="preserve">2  </w:t>
        <w:br/>
        <w:t xml:space="preserve">- interior and exterior carpentry;  </w:t>
        <w:br/>
        <w:t xml:space="preserve">- plastering, ceilings, insulation;  </w:t>
        <w:br/>
        <w:t xml:space="preserve">- tools and hardware;  </w:t>
        <w:br/>
        <w:t xml:space="preserve">- sanitary;  </w:t>
        <w:br/>
        <w:t xml:space="preserve">- heating;  </w:t>
        <w:br/>
        <w:t xml:space="preserve">- tiling;  </w:t>
        <w:br/>
        <w:t xml:space="preserve">- outdoor arrangements.  </w:t>
        <w:br/>
        <w:t xml:space="preserve">8. However, it is not necessary to precisely segment these different markets as, regardless of the delimitation of the product families retained, the conclusions of the competitive analysis will remain unchanged.  </w:t>
        <w:br/>
        <w:t xml:space="preserve">b) Geographic delimitation  </w:t>
        <w:br/>
        <w:t xml:space="preserve">9. Regarding the markets for the supply of construction materials, the decision-making practice retains, at a minimum, a national dimension. The European Commission has thus emphasized that, in such markets, competition among the main suppliers, whether in terms of marketing strategy, commercial policy, or the location of sales outlets, operates at the national level.  </w:t>
        <w:br/>
        <w:t>10. In this case, regarding the markets for the supply of construction materials, the analysis will be conducted at the national level. However, in the absence of harm to competition, the question of the exact delimitation of the markets may remain open.</w:t>
      </w:r>
    </w:p>
    <w:p>
      <w:r>
        <w:t xml:space="preserve">2. DOWNSTREAM MARKETS FOR THE TRADE OF CONSTRUCTION MATERIALS  </w:t>
        <w:br/>
        <w:t xml:space="preserve">a) Delimitation by products  </w:t>
        <w:br/>
        <w:t xml:space="preserve">11. The European Commission defines the trade of construction materials as "a traditional activity through which traders sell from stock all the materials necessary for companies in the building sector." The materials thus marketed are primarily intended for professionals. While some individuals occasionally turn to such traders, they are generally "heavy DIYers" whose expectations are similar to those of companies. In this case, the parties have a clientele that is overwhelmingly composed of professionals.  </w:t>
        <w:br/>
        <w:t>12. It is also necessary to refine the delimitation of the markets according to the depth of the range of materials distributed. "Generalist" traders, who offer a wide but shallow product range, can indeed be distinguished from "specialized" traders, whose offer focuses on a product family for which the degree of expertise is higher. National practice has thus emphasized that, although they may be geographically close, generalist and specialist sales outlets are very imperfect substitutes. In this case, Chausson Matériaux operates its trading activities through 209 generalist agencies under the Chausson Matériaux brand and 30 specialist agencies under the Chausson Matériaux brand specializing in ceilings, plastering, insulation on one hand, or tiling on the other. The 88 business assets currently operated under the brand...</w:t>
      </w:r>
    </w:p>
    <w:p>
      <w:r>
        <w:rPr>
          <w:b/>
        </w:rPr>
        <w:t>[Pages 4–6]</w:t>
      </w:r>
    </w:p>
    <w:p>
      <w:r>
        <w:t>Réseau Pro are all general trading agencies for construction materials.</w:t>
      </w:r>
    </w:p>
    <w:p>
      <w:r>
        <w:t>b) Geographic delimitation</w:t>
      </w:r>
    </w:p>
    <w:p>
      <w:r>
        <w:t>13. Both community and national practice consider that the market for trading construction materials is of local dimension, as professionals in the building sector mainly make their purchases near their area of operation.</w:t>
      </w:r>
    </w:p>
    <w:p>
      <w:r>
        <w:t>14. Previous decisions have established that the distances traveled by consumers of construction materials vary depending on the degree of specialization of the point of sale concerned. Regarding general traders, the catchment areas thus defined extend over a radius of about fifty kilometers around the point of sale. In fact, the analysis of the general trading market for construction materials is usually conducted at the departmental level. However, as has already been done in previous decisions of the Authority, it can be considered that the catchment area of a point of sale can be limited to that which encompasses the customers representing 80% of the turnover of the point of sale or 80% of the customers of the point of sale, depending on the available data, in the sector of trading construction materials in a particular manner as in others more broadly. The remainder is considered as occasional and insignificant clientele, sometimes very distant from the point of sale. In this case, the catchment areas of the parties have been delineated according to this methodology.</w:t>
      </w:r>
    </w:p>
    <w:p>
      <w:r>
        <w:t>III. Competitive analysis</w:t>
      </w:r>
    </w:p>
    <w:p>
      <w:r>
        <w:t>A- THE UPSTREAM MARKETS FOR SUPPLYING CONSTRUCTION MATERIALS</w:t>
      </w:r>
    </w:p>
    <w:p>
      <w:r>
        <w:t>15. In the upstream markets, the new entity will hold a market share that will remain below 10% regardless of the segmentation considered.</w:t>
      </w:r>
    </w:p>
    <w:p>
      <w:r>
        <w:t>16. The parties have 12 suppliers in common and represent less than 10% of the turnover of 10 of them, and respectively 12% and 17% of 2 of them. However, as the Authority recalled in its guidelines on the control of concentrations, the creation of a situation of economic dependence mainly depends on the existence of potential alternative solutions and constitutes in any case a harm to competition only if it has an effect on competition in a market and, ultimately, on consumer surplus, and not simply on a supplier, insofar as the objective of the competition authorities is not to protect a company as such, whether it is a competitor, customer, or supplier.</w:t>
      </w:r>
    </w:p>
    <w:p>
      <w:r>
        <w:t>17. Consequently, the operation is not likely to harm competition in the upstream markets.</w:t>
      </w:r>
    </w:p>
    <w:p>
      <w:r>
        <w:t>B- THE DOWNSTREAM MARKETS FOR TRADING CONSTRUCTION MATERIALS</w:t>
      </w:r>
    </w:p>
    <w:p>
      <w:r>
        <w:t>18. Chausson Matériaux is a multi-regional player present in the downstream markets for general trading of construction materials in the South West, South East, and Central France, as well as more marginally in the North, East, and Ile de France through its 241 agencies. By purchasing the 88 target business assets, Chausson Matériaux will strengthen its presence in the South of France and the Atlantic coast, mainly in areas where it is either completely absent or weakly represented.</w:t>
      </w:r>
    </w:p>
    <w:p>
      <w:r>
        <w:t>Competitive positioning of the parties relative to each other</w:t>
      </w:r>
    </w:p>
    <w:p>
      <w:r>
        <w:t>19. The operation leads to the rapprochement of two close customers, as the parties offer the same type of products in often similar store formats.</w:t>
      </w:r>
    </w:p>
    <w:p>
      <w:r>
        <w:t>Competitive environment</w:t>
      </w:r>
    </w:p>
    <w:p>
      <w:r>
        <w:t>20. The market for trading construction materials is highly fragmented. Indeed, it only has two national players, Point P and Wolseley, which together represent 35% of the market. There are also 25 multi-regional groups (representing 25% of the market) which, although they do not systematically have a common brand or signage, provide their subsidiaries with assistance in marketing, referencing, and financing. The main multi-regional groups are Chausson, Larivière (SIG), Comafranc, VM Matériaux, Ciffreo Bonna. Finally, the market includes groups of independent traders (37% of the market) that offer their members assistance in communication, management, development, and layout of the point of sale, and possibly financial aid. The main groups of independents are Gedimat, Bigmat, Tout Faire, and France Matériaux.</w:t>
      </w:r>
    </w:p>
    <w:p>
      <w:r>
        <w:t>Barriers to entry</w:t>
      </w:r>
    </w:p>
    <w:p>
      <w:r>
        <w:t>21. It follows from the investigation that there are barriers to entry in the sector. The importance of the capital intensity required to finance stocks and logistics has thus been highlighted. Above all, the notifying party noted that to enter the market, a new entrant must have a certain reputation, particularly regarding the know-how and skills of its salespeople, as both customers and suppliers attach great importance to the reliability and accuracy of the advice provided on products whose implementation often presents a certain technicality.</w:t>
      </w:r>
    </w:p>
    <w:p>
      <w:r>
        <w:t>Competitive analysis</w:t>
      </w:r>
    </w:p>
    <w:p>
      <w:r>
        <w:t>22. The catchment areas have been determined according to the previously described method, around each point of sale of Chausson Matériaux and Réseau Pro. The notifying parties have thus identified 30 overlapping areas. The market shares of the parties and their competitors have been calculated based on estimated or actual turnover figures. They are derived from the parties' assessments and, where applicable, from the verifications conducted by the investigation services.</w:t>
      </w:r>
    </w:p>
    <w:p>
      <w:r>
        <w:t>23. At the conclusion of the operation, the new entity will hold a market share of less than 25% in sixteen of these areas and more than 25% in fourteen areas.</w:t>
      </w:r>
    </w:p>
    <w:p>
      <w:r>
        <w:t>24. For ten areas, the risks of harm to competition can be dismissed due to the presence in the area of the national competitor Point P and at least one multi-regional competitor (SAMSE, VM Matériaux, S.I.G France, Ciffreo Bonna) or an independent member of nationally sized groups (Tout faire, Bigmat, Gedimat) or an independent member with a market share difference of less than 10%. These competitors ensure that professionals have access to alternative sales outlets to the parties, most often backed by groups with sufficient logistical and commercial capabilities to meet their demand.</w:t>
      </w:r>
    </w:p>
    <w:p>
      <w:r>
        <w:t>25. For the remaining four areas, the new entity will be in a leadership position. Only the national competitor, Point P, will be present there (except for the area of Carcassonne where a multi-regional competitor is present, but with a market share of only 8.9%).</w:t>
      </w:r>
    </w:p>
    <w:p>
      <w:r>
        <w:t>26. The table below summarizes the respective positions of the parties and their main competitors in these four areas:</w:t>
      </w:r>
    </w:p>
    <w:p>
      <w:r>
        <w:t>| Market Share | Réseau Pro | Competitor 1 | Competitor 2 | Competitor 3 | Total |</w:t>
        <w:br/>
        <w:t>|--------------|------------|---------------|---------------|---------------|-------|</w:t>
        <w:br/>
        <w:t>| Point P      |            |               |               |               |       |</w:t>
        <w:br/>
        <w:t>| Saint Junien | [60-70]%   | [10-20]%      | 86.3% (national) | [10-20]%      |       |</w:t>
        <w:br/>
        <w:t>| Point P      |            |               |               |               |       |</w:t>
        <w:br/>
        <w:t>| Bollène      | [40-50]%   | [30-40]%      | 71.6% (national) | [20-30]%      |       |</w:t>
        <w:br/>
        <w:t>| Point P CCL  |            |               |               |               |       |</w:t>
        <w:br/>
        <w:t>| Pamiers      | [30-40]%   | [10-20]%      | 51.2% (national) | [30-40]%      | [10-20]% |</w:t>
        <w:br/>
        <w:t>| Aude         |            |               |               |               |       |</w:t>
        <w:br/>
        <w:t>| Point P CCL  |            |               |               |               |       |</w:t>
        <w:br/>
        <w:t>| Carcassonne  | [10-20]%   | 43.9% (national) | [20-30]% (independent) | [10-20]% | [10-20]% |</w:t>
      </w:r>
    </w:p>
    <w:p>
      <w:r>
        <w:t>Zone of Saint Junien (87)</w:t>
      </w:r>
    </w:p>
    <w:p>
      <w:r>
        <w:t>27. The notifying parties have defined an area including 80% of the turnover of the points of sale of Chausson and Réseau Pro located in Saint Junien, which extends to Limoges in the Southeast, but does not include this city, Bataillou in the Southwest, Bussière Boffy in the Northwest, and La Garde in the Northeast.</w:t>
      </w:r>
    </w:p>
    <w:p>
      <w:r>
        <w:t>28. In Saint Junien, the two points of sale of the parties will face a Point P store, the only competitor present in this city. At the conclusion of the operation, the new entity will hold a market share of [80-90]% ([60-70]% for Chausson and [10-20]% for Réseau Pro), the...</w:t>
      </w:r>
    </w:p>
    <w:p>
      <w:r>
        <w:rPr>
          <w:b/>
        </w:rPr>
        <w:t>[Pages 7–9]</w:t>
      </w:r>
    </w:p>
    <w:p>
      <w:r>
        <w:t>a</w:t>
        <w:br/>
        <w:t>Garde au Nord Est.</w:t>
      </w:r>
    </w:p>
    <w:p>
      <w:r>
        <w:t>28. In Saint Junien, the two points of sale of the parties will face a Point P store, the only competitor present in this city. At the conclusion of the operation, the new entity will hold a market share of [80-90]% ([60-70]% for Chausson and [10-20]% for Réseau Pro), with the competitor Point P being of modest size ([10-20]% market share). If we move towards the outskirts of the area, we will note the presence of two independents, BMCD in Bataillou and Chaleix near La Garde. However, given their relative distance, the competitive pressure exerted by these two players will remain limited.</w:t>
      </w:r>
    </w:p>
    <w:p>
      <w:r>
        <w:t>29. The operation will therefore result in the disappearance of a national competitor in the area and will reduce customer choice. To alleviate serious doubts regarding the effects of the operation on competition in the Saint Junien area, the parties proposed on July 15, 2013, to divest the Réseau Pro point of sale located in Saint Junien. This divestiture will eliminate any overlap in the activities of the parties in the area. The commitment proposed by the parties thus appears sufficient to remedy the identified risks of harm to competition.</w:t>
      </w:r>
    </w:p>
    <w:p>
      <w:r>
        <w:t>30. Consequently, subject to compliance with the proposed commitments, the operation is not likely to harm competition in the Saint Junien area.</w:t>
      </w:r>
    </w:p>
    <w:p>
      <w:r>
        <w:t>Zone de Bollène (84)</w:t>
      </w:r>
    </w:p>
    <w:p>
      <w:r>
        <w:t>31. The notifying parties defined an area including 80% of the turnover of the Chausson and Réseau Pro points of sale located in Bollène, which extends to Rochegude in the Southeast, Montdragon in the Southwest, and Saint Restitut in the North.</w:t>
      </w:r>
    </w:p>
    <w:p>
      <w:r>
        <w:t>32. In this area, the two points of sale of the parties will face a single competitor, a Point P store. At the conclusion of the operation, the new entity will hold a market share of [70-80]% ([40-50]% for Chausson and [30-40]% for Réseau Pro), with Point P holding a market share of [20-30]%.</w:t>
      </w:r>
    </w:p>
    <w:p>
      <w:r>
        <w:t>33. The operation will therefore result in the disappearance of a national competitor in the area and will reduce customer choice. To alleviate serious doubts regarding the effects of the operation on competition in the Bollène area, the parties proposed on July 15, 2013, to divest the Réseau Pro point of sale located in Bollène. This divestiture will eliminate any overlap in the activities of the parties in the area. The commitment proposed by the parties thus appears sufficient to remedy the identified risks of harm to competition.</w:t>
      </w:r>
    </w:p>
    <w:p>
      <w:r>
        <w:t>34. Consequently, subject to compliance with the proposed commitments, the operation is not likely to harm competition in the Bollène area.</w:t>
      </w:r>
    </w:p>
    <w:p>
      <w:r>
        <w:t>Zone de Pamiers (09)</w:t>
      </w:r>
    </w:p>
    <w:p>
      <w:r>
        <w:t>35. The notifying parties defined an area including 80% of the turnover of the Chausson and Réseau Pro points of sale located in Pamiers, which extends to Arvigna in the Southeast, Artix in the Southwest, Mazères in the Northeast, and Saverdun in the Northwest.</w:t>
      </w:r>
    </w:p>
    <w:p>
      <w:r>
        <w:t>36. In Pamiers, the two points of sale of the parties will face a Point P and an independent affiliated with the regional group CCL, which is an imperfect substitute, as it primarily sells concrete steel and assembly steel. There are no other competitors in the area. At the conclusion of the operation, the new entity will hold a market share of [50-60]%, compared to [30-40]% for Point P and [10-20]% for CCL.</w:t>
      </w:r>
    </w:p>
    <w:p>
      <w:r>
        <w:t>37. The operation will therefore result in the disappearance of a national competitor in the area and will reduce customer choice. To alleviate serious doubts regarding the effects of the operation on competition in the Pamiers area, the parties proposed on July 15, 2013, to divest the Réseau Pro point of sale located in Pamiers. This divestiture will eliminate any overlap in the activities of the parties in the area. The commitment proposed by the parties thus appears sufficient to remedy the identified risks of harm to competition.</w:t>
      </w:r>
    </w:p>
    <w:p>
      <w:r>
        <w:t>38. Consequently, subject to compliance with the proposed commitments, the operation is not likely to harm competition in the Pamiers area.</w:t>
      </w:r>
    </w:p>
    <w:p>
      <w:r>
        <w:t>Zone de Carcassonne (11)</w:t>
      </w:r>
    </w:p>
    <w:p>
      <w:r>
        <w:t>39. The notifying parties defined an area including 80% of the turnover of the two points of sale Chausson and Réseau Pro located in Carcassonne and another Chausson point of sale located in Trèbes. This area includes Carcassonne and its surroundings.</w:t>
      </w:r>
    </w:p>
    <w:p>
      <w:r>
        <w:t>40. In this small area, the points of sale of the parties ([40-50]% market share for the new entity with an increment of [10-20]%) will face the national competitor Point P ([10-20]%) and several independents affiliated with the groups Tout Faire, CCL, and M+ (respectively [20-30]%, [10-20]%, and [5-10]% market share).</w:t>
      </w:r>
    </w:p>
    <w:p>
      <w:r>
        <w:t>41. Therefore, there will only remain a small national competitor in the area and independents, significantly reducing the alternatives available to professionals. To alleviate serious doubts regarding the effects of the operation on competition in this area, the parties proposed on July 15, 2013, to divest the Réseau Pro point of sale located in Carcassonne, bringing their market share to [20-30]%. The commitment proposed by the parties thus appears sufficient to remedy the identified risks of harm to competition.</w:t>
      </w:r>
    </w:p>
    <w:p>
      <w:r>
        <w:t>42. Consequently, subject to compliance with the proposed commitments, the operation is not likely to harm competition in the Carcassonne area.</w:t>
      </w:r>
    </w:p>
    <w:p>
      <w:r>
        <w:t>IV. Proposed commitments by the parties</w:t>
      </w:r>
    </w:p>
    <w:p>
      <w:r>
        <w:t>43. In order to alleviate the risks of harm to competition posed by the operation on competition in the markets for general trading of construction materials in the areas of Saint Junien (87), Bollène (84), Pamiers (09), and Carcassonne (11), Chausson Matériaux submitted on July 8, 2013, a proposal for commitments that was last modified on July 15, 2013. The full text of these commitments, attached as an annex, is an integral part of this decision.</w:t>
      </w:r>
    </w:p>
    <w:p>
      <w:r>
        <w:t>44. The commitments proposed by Chausson Matériaux consist of the divestiture to one or more viable and independent buyers of the points of sale presented in the table below:</w:t>
      </w:r>
    </w:p>
    <w:p>
      <w:r>
        <w:t>| Brand of Point of Sale | Municipality of Divested Point of Sale | Area | Department |</w:t>
        <w:br/>
        <w:t>|------------------------|---------------------------------------|------|------------|</w:t>
        <w:br/>
        <w:t>| Saint Junien           | Réseau Pro                            | Saint Junien | 87         |</w:t>
        <w:br/>
        <w:t>| Bollène                | Réseau Pro                            | Bollène | 84         |</w:t>
        <w:br/>
        <w:t>| Pamiers                | Réseau Pro                            | Carcassonne | 09         |</w:t>
        <w:br/>
        <w:t>| Carcassonne            | Réseau Pro                            | Pamiers | 11         |</w:t>
      </w:r>
    </w:p>
    <w:p>
      <w:r>
        <w:t>45. Regarding the proposed divestitures, Chausson Matériaux prohibits, for a period of 10 years from the present decision, acquiring exclusive or joint control over all or part of one or more of these points of sale.</w:t>
      </w:r>
    </w:p>
    <w:p>
      <w:r>
        <w:t>46. Furthermore, Chausson Matériaux commits to making its best efforts to find a buyer for each of the points of sale and to present it for approval by the Competition Authority within six months from the present decision. At the end of this period, a representative, who will have been previously proposed by Chausson Matériaux, will be tasked with selling the points of sale that have not been divested.</w:t>
      </w:r>
    </w:p>
    <w:p>
      <w:r>
        <w:t>47. The buyers must be independent of Chausson Matériaux and possess the financial resources and expertise to preserve and develop in a viable manner the capacity of the divested activities to stimulate competition in the relevant local markets.</w:t>
      </w:r>
    </w:p>
    <w:p>
      <w:r>
        <w:t>48. The representative will be responsible for ensuring compliance with the obligations resulting from this decision.</w:t>
      </w:r>
    </w:p>
    <w:p>
      <w:r>
        <w:t>49. In three areas, these commitments will eliminate any overlap in activities between the parties. In one area, they will allow for the elimination of part of the overlap in activities, with the parties holding a market share of 34.2 following the divestiture. The proposed commitments therefore allow for remedying the identified risks of harm to competition. Regular reports made by the representative will ensure their effective implementation.</w:t>
      </w:r>
    </w:p>
    <w:p>
      <w:r>
        <w:t>50. Consequently, the Authority considers that the commitments proposed by the notifying party are sufficient to remedy the harms to competition caused by the operation.</w:t>
      </w:r>
    </w:p>
    <w:p>
      <w:r>
        <w:t>DECIDES</w:t>
      </w:r>
    </w:p>
    <w:p>
      <w:r>
        <w:t>Article unique: The operation notified under number 13-044 is authorized subject to the commitments described above and annexed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