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https://www.autoritedelaconcurrence.fr/fr/decision-de-controle-des-concentrations/relative-la-prise-de-controle-exclusif-par-faurecia</w:t>
      </w:r>
    </w:p>
    <w:p>
      <w:r>
        <w:t>Pages translated : 5</w:t>
      </w:r>
    </w:p>
    <w:p/>
    <w:p>
      <w:r>
        <w:rPr>
          <w:b/>
        </w:rPr>
        <w:t>[Pages 1–3]</w:t>
      </w:r>
    </w:p>
    <w:p>
      <w:r>
        <w:t xml:space="preserve">FRENCH REPUBLIC  </w:t>
        <w:br/>
        <w:t xml:space="preserve">Decision No. 10-DCC-154 of November 19, 2010  </w:t>
        <w:br/>
        <w:t>regarding the exclusive control by Faurecia of assets belonging to the Visteon group</w:t>
      </w:r>
    </w:p>
    <w:p>
      <w:r>
        <w:t xml:space="preserve">The Competition Authority,  </w:t>
        <w:br/>
        <w:t xml:space="preserve">Having regard to the notification file submitted in full to the merger service on October 19, 2010, concerning the acquisition by the Faurecia group of assets belonging to the Visteon group, formalized by a letter of intent dated June 23,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Faurecia Jit Plastique, a simplified joint-stock company under French law, is a 100% subsidiary of Faurecia Automotive Holdings, which is wholly owned by Faurecia SA, the head of the Faurecia group (hereinafter "Faurecia"). The latter is exclusively controlled by Peugeot SA, the head of the PSA group, which holds 57.4% of its capital, with minority shareholders not having any veto rights over the strategic decisions of the company. Faurecia is an international automotive supplier that provides, through its 200 production sites located in 32 different countries, automotive equipment such as seats, dashboards, and center consoles to numerous manufacturers.  </w:t>
        <w:br/>
        <w:t xml:space="preserve">2. By a letter of intent dated June 23, 2010, Faurecia Jit Plastique committed to acquiring from the supplier Visteon assets located at a site operated by the seller in Noyal-Chatillon-sur-Seiche (in the Ille-et-Vilaine department). These assets consist of all elements necessary for the production and sale of door panels, dashboards, center consoles, and window pillars for the exclusive equipment of several vehicles of the PSA manufacturer. They include employees, equipment, tooling, customers, raw materials, contracts, and all documents of a commercial, accounting, legal, and technical nature, as well as licenses related to industrial property rights necessary for the continued execution of contracts.  </w:t>
        <w:br/>
        <w:t xml:space="preserve">3. These assets constitute part of a business, that is, an activity resulting in a presence in a market to which turnover can be unambiguously attributed, and the notified operation consequently constitutes a concentration operation within the meaning of Article L.430-1 of the Commercial Code.  </w:t>
        <w:br/>
        <w:t>4. The companies concerned together achieve a total worldwide turnover of more than 150 million euros (PSA Group: 48 billion euros for the fiscal year ending December 31, 2009; divested assets: […] million euros for the same year). At least two of these companies achieve a turnover in France exceeding 50 million euros (PSA Group: 15 billion euros for the fiscal year ending December 31, 2009; divested assets: […] million euros for the same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DEFINITION OF PRODUCT MARKETS  </w:t>
        <w:br/>
        <w:t xml:space="preserve">5. The parties to the operation simultaneously market dashboards, door panels, window pillars, and center consoles to automobile manufacturers.  </w:t>
        <w:br/>
        <w:t xml:space="preserve">6. In the automotive equipment sector, both national1 and community2 decision-making practice considers that the manufacture of each part can constitute a distinct product market given the lack of substitutability between the different types of parts from both the demand and supply sides.  </w:t>
        <w:br/>
        <w:t xml:space="preserve">7. More specifically, the European Commission3 has identified a market for dashboards, defined as the interior part of the automobile in which equipment (speedometer, clock, car radio, etc.) is inserted, which is placed in front of the driver and passenger and in which the steering column is located. The Commission has also considered a market for center consoles distinct from the dashboard market, due to the possibility of manufacturing and marketing these two types of products separately.  </w:t>
        <w:br/>
        <w:t xml:space="preserve">8. Similarly, a market for door panels has been considered, defined as the interior plastic panel of the door, covered or not with fabric or another material, and a market for window pillars, which are plastic elements installed around doors.  </w:t>
        <w:br/>
        <w:t xml:space="preserve">9. Furthermore, national and community decision-making practice4 has distinguished, on the one hand, a market for original equipment, which includes both sales made to automobile manufacturers for new equipment (OEM – Original Equipment Manufacturer) and for supplying their dealer networks with spare parts (OES – Original Equipment Services) and, on the other hand, a market for the resale of spare parts by independent resellers (IAM – Independent Aftermarket). In the present case, the parties to the operation exclusively produce parts for the OEM/OES markets.  </w:t>
        <w:br/>
        <w:t xml:space="preserve">10. National and community competition authorities5 have also considered segmenting product markets based on the type of vehicle into which the automotive part is ultimately integrated (passenger and light commercial vehicles, on the one hand, and heavy trucks, on the other). The parties to the operation are only active in the market for passenger and light commercial vehicles.  </w:t>
        <w:br/>
        <w:t xml:space="preserve">11. Finally, the notifying party considers it relevant to distinguish, on the one hand, a market for modules, defined as a finished product made from numerous pre-assembled components and delivered to the manufacturer in the form of a single unit, and, on the other hand, the different markets corresponding to each of the components of a module that can be sold separately. In this regard, the European Commission6 had already considered this distinction for the components of door panels, although the question was left open. In the present case, the parties only market complete modules (door panels, center consoles, and dashboards).  </w:t>
        <w:br/>
        <w:t>12. In any case, the question of the precise definition of the markets can be left open as, regardless of the assumptions made, the conclusions of the competitive analysis will remain unchanged.</w:t>
      </w:r>
    </w:p>
    <w:p>
      <w:r>
        <w:t xml:space="preserve">B. GEOGRAPHICAL DEFINITION OF MARKETS  </w:t>
        <w:br/>
        <w:t xml:space="preserve">13. In the matter of automotive equipment parts, decision-making practice7 consistently considers that the markets are at least community in scope as manufacturers of automotive parts operate throughout Europe and there are no technical standards or other regulatory barriers to trade within the European Economic Area, nor any customs barriers between Member States.  </w:t>
        <w:br/>
        <w:t xml:space="preserve">14. In the present case, there is no need to call into question this geographical definition of the markets.  </w:t>
        <w:br/>
        <w:t xml:space="preserve">4 See the aforementioned letter from the Minister C2007-135; decisions of the Commission M360-Arvin/Sogefi of August 23, 1993, M1245-Valéo/ITT Industries of July 30, 1998, and M2939-JCI/Bosch/VB Autobatterien JV of October 18, 2002; decision of the Competition Authority No. 10-DCC-30 of April 7, 2010.  </w:t>
        <w:br/>
        <w:t xml:space="preserve">5 See in particular the decisions of the Commission, COMP/M.3789 of June 29, 2005 Johnson Controls/Robert Bosch/Delphi Sli, and COMP/M.3972, Trw Automotive/Delphi Metal España of October 12, 2005; decision of the Competition Authority No. 10-DCC-30 mentioned above.  </w:t>
        <w:br/>
        <w:t xml:space="preserve">6 See decision No. IV/M.1518 mentioned above.  </w:t>
        <w:br/>
        <w:t>7 See in particular the decision of the Competition Authority No. 09-DCC-08 mentioned above; decision of the European Commission COMP/M.2241 mentioned above.</w:t>
      </w:r>
    </w:p>
    <w:p>
      <w:r>
        <w:rPr>
          <w:b/>
        </w:rPr>
        <w:t>[Pages 4–5]</w:t>
      </w:r>
    </w:p>
    <w:p>
      <w:r>
        <w:t>III. Competitive Analysis</w:t>
      </w:r>
    </w:p>
    <w:p>
      <w:r>
        <w:t>15. Regarding the market for door panels intended for passenger and light commercial vehicles (OEM/OES), the notifying party estimates that Faurecia and the divested assets hold market shares, in value, of [10-20]% and [0-5]% respectively, resulting in a combined share of slightly more than [10-20]% of the market. The parties compete with Johnson Controls Inc. (market share of [10-20]%), Visteon ([5-10]%), Magna ([5-10]%), Antolin ([5-10]%), Peguform ([5-10]%), Polytec ([5-10]%), Rochling ([5-10]%), and a few other competitors each achieving less than [0-5]% of the market.</w:t>
      </w:r>
    </w:p>
    <w:p>
      <w:r>
        <w:t>16. Regarding the market for window pillars intended for passenger and light commercial vehicles (OEM/OES), the parties have estimated their combined market share to be below [0-5]% (approximately [0-5]% for Faurecia and [0-5]% for the target).</w:t>
      </w:r>
    </w:p>
    <w:p>
      <w:r>
        <w:t>17. Regarding the market for center consoles intended for passenger and light commercial vehicles (OEM/OES), Faurecia and the target hold market shares of [10-20]% and [0-5]%, respectively, resulting in a combined market share of [10-20]%. The parties face competition from Visteon ([10-20]%), Draxmaier ([5-10]%), Johnson Controls Inc. ([5-10]%), Magneti Marelli ([5-10]%), Intier ([5-10]%), Polytec ([5-10]%), Key Plastic ([0-5]%), as well as a few other small competitors.</w:t>
      </w:r>
    </w:p>
    <w:p>
      <w:r>
        <w:t>18. Finally, regarding the market for dashboards intended for passenger and light commercial vehicles (OEM/OES), Faurecia and the target have estimated their market shares at [20-30]% and [0-5]%, respectively, resulting in a combined market share of [20-30]%. The position of the notifying party will be challenged by several suppliers, such as Visteon, which will remain active in this market ([10-20]%), Magna ([5-10]%), Johnson Controls Inc. ([5-10]%), Peguform ([5-10]%), IAC ([0-5]%), and a few other players each achieving less than [0-5]% of the market.</w:t>
      </w:r>
    </w:p>
    <w:p>
      <w:r>
        <w:t>19. As noted by both community and national competition authorities8, the automotive equipment markets are characterized by a very strong purchasing power of manufacturers who pursue a strategy of diversifying their suppliers to avoid any dependence, notably by resorting to the bidding process.</w:t>
      </w:r>
    </w:p>
    <w:p>
      <w:r>
        <w:t>20. Therefore, considering the low increment of market share induced by the acquisition, the existence of several competitors with significant market shares capable of challenging the parties' position, and the strong purchasing power of customers, the operation is not likely to harm competition.</w:t>
      </w:r>
    </w:p>
    <w:p>
      <w:r>
        <w:t>DECIDES</w:t>
      </w:r>
    </w:p>
    <w:p>
      <w:r>
        <w:t>Sole Article: The operation notified under number 10-0176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