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https://www.autoritedelaconcurrence.fr/fr/decision-de-controle-des-concentrations/relative-la-prise-de-controle-exclusif-par-forza</w:t>
      </w:r>
    </w:p>
    <w:p>
      <w:r>
        <w:t>Pages translated : 2</w:t>
      </w:r>
    </w:p>
    <w:p/>
    <w:p>
      <w:r>
        <w:rPr>
          <w:b/>
        </w:rPr>
        <w:t>[Pages 1–2]</w:t>
      </w:r>
    </w:p>
    <w:p>
      <w:r>
        <w:t xml:space="preserve">FRENCH REPUBLIC  </w:t>
        <w:br/>
        <w:t xml:space="preserve">Decision No. 19-DCC-256 of December 18, 2019  </w:t>
        <w:br/>
        <w:t xml:space="preserve">regarding the acquisition of exclusive control by Forza Automobiles over  </w:t>
        <w:br/>
        <w:t xml:space="preserve">the companies Saussereau SAS, NSA, and Avenir Automobiles  </w:t>
        <w:br/>
        <w:t xml:space="preserve">The Competition Authority,  </w:t>
        <w:br/>
        <w:t xml:space="preserve">Having regard to the notification file submitted to the mergers department on November 6, 2019, declared  </w:t>
        <w:br/>
        <w:t xml:space="preserve">complete on November 28, 2019, concerning the acquisition of exclusive control by Forza Automobiles over  </w:t>
        <w:br/>
        <w:t xml:space="preserve">the companies Saussereau SAS, NSA, and Avenir Automobiles, formalized by a letter of intent dated October 22,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transaction consists of the acquisition of exclusive control by Forza Automobiles over the companies  </w:t>
        <w:br/>
        <w:t xml:space="preserve">Saussereau SAS, NSA, and Avenir Automobiles, which are active in the automobile distribution sector through five dealerships of Fiat, Alfa Romeo, Jeep, and Abarth brands located in Cerisé (61), Le Mans (72), Luisant (28), Dreux (28), and Laval (53).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19-288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