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https://www.autoritedelaconcurrence.fr/fr/decision-de-controle-des-concentrations/relative-la-prise-de-controle-exclusif-par-gfi-bus-du-fonds</w:t>
      </w:r>
    </w:p>
    <w:p>
      <w:r>
        <w:t>Pages translated : 5</w:t>
      </w:r>
    </w:p>
    <w:p/>
    <w:p>
      <w:r>
        <w:rPr>
          <w:b/>
        </w:rPr>
        <w:t>[Pages 1–3]</w:t>
      </w:r>
    </w:p>
    <w:p>
      <w:r>
        <w:t xml:space="preserve">FRENCH REPUBLIC  </w:t>
        <w:br/>
        <w:t xml:space="preserve">Decision No. 12-DCC-122 of September 7, 2012  </w:t>
        <w:br/>
        <w:t>regarding the exclusive control by GFI-BUS of the business assets constituted by the "Business Solutions" division of Thalès Services SA</w:t>
      </w:r>
    </w:p>
    <w:p>
      <w:r>
        <w:t xml:space="preserve">The Competition Authority,  </w:t>
        <w:br/>
        <w:t xml:space="preserve">Having regard to the notification file submitted in full to the merger control service on August 3, 2012, regarding the exclusive control by GFI Informatique SA of the business assets constituted by the "Business Solutions" division of Thalès Services SA, formalized by a deed of transfer of business assets dated July 30, 2012;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GFI Informatique SA (hereinafter "GFI") is active in the IT services sector. It is listed on the Euronext market and is part of compartment B of the Eurolist. Its capital is held by Itefin Participation at 31.3%, by the public at 30%, by Boussard &amp; Gavaudan at 29.7%, by Financière de l’Echiquier at 7%, the remainder of the capital being held by employees or self-held. The statutes of GFI provide that decisions are made by a majority of votes and there is no shareholders' agreement. Consequently, GFI is not subject to any control within the meaning of merger law.  </w:t>
        <w:br/>
        <w:t>2. The "Business Solutions" division of Thalès Services SA (hereinafter "the divested activities") does not have legal personality and is integrated into Thalès Services SAS, a 100% subsidiary of Thalès. It is active in the IT services sector.</w:t>
      </w:r>
    </w:p>
    <w:p>
      <w:r>
        <w:t xml:space="preserve">3. Pursuant to the deed of transfer of business assets dated July 30, 2012, the transaction involves the acquisition by GFI, which is substituted by its 100% subsidiary GFI-BUS, of the business assets constituted by the "Business Solutions" division of Thalès Services SA.  </w:t>
        <w:br/>
        <w:t xml:space="preserve">4. As it results in the exclusive control of the business assets constituted by the "Business Solutions" division of Thalès Services SA by GFI, the notified transaction is a concentration operation within the meaning of Article L. 430-1 of the Commercial Code.  </w:t>
        <w:br/>
        <w:t>5. The companies concerned together achieve a total worldwide turnover of more than 150 million euros (GFI: 618.1 million euros for the fiscal year ending December 31, 2011; "Business Solutions" division: 77.9 million euros for the fiscal year ending December 31, 2011). At least two of these companies achieve a turnover in France exceeding 50 million euros (GFI: 496.7 million euros for the fiscal year ending December 31, 2011; "Business Solutions" division: 77.9 million euros for the fiscal year ending December 31, 2011).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A. PRODUCT MARKETS  </w:t>
        <w:br/>
        <w:t xml:space="preserve">6. The competition authorities, both French and community, have already had the opportunity to rule on the definition of the relevant markets in the IT services sector. They have nevertheless left open, in each case, the exact delimitation of the relevant markets.  </w:t>
        <w:br/>
        <w:t xml:space="preserve">7. The decision-making practice has thus identified, within the IT services market, seven functional categories of services:  </w:t>
        <w:br/>
        <w:t xml:space="preserve">- (i) global management services also known as "outsourcing" or "system management services" which include operational services, applied management, technical assistance management, business continuity management, asset management, outsourcing and operating lease,  </w:t>
        <w:br/>
        <w:t xml:space="preserve">- (ii) business management services also known as "process management" or "business process outsourcing (BPO)",  </w:t>
        <w:br/>
        <w:t xml:space="preserve">- (iii) the development and integration of software, consisting of developing existing software based on the specific requirements of clients,  </w:t>
        <w:br/>
        <w:t xml:space="preserve">- (iv) consulting services, which include technical services on network architecture, planning, or project management assistance,  </w:t>
        <w:br/>
        <w:t xml:space="preserve">- (v) software maintenance and logistical support,  </w:t>
        <w:br/>
        <w:t xml:space="preserve">- (vi) hardware maintenance and logistical support, and  </w:t>
        <w:br/>
        <w:t xml:space="preserve">- (vii) teaching and training.  </w:t>
        <w:br/>
        <w:t xml:space="preserve">8. Different alternative or complementary segmentations have also been considered according to:  </w:t>
        <w:br/>
        <w:t xml:space="preserve">- the type of clientele, SMEs / SMIs or large accounts;  </w:t>
        <w:br/>
        <w:t xml:space="preserve">- the types of information and communication systems: (i) management application systems, which include IT services used to fulfill a horizontal function within companies or administrations; (ii) embedded scientific technical industrial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the public sector; (vi) health; (vii) industry; (viii) commerce and distribution; (ix) services; and (x) transport.  </w:t>
        <w:br/>
        <w:t xml:space="preserve">9. There is no need, on the occasion of this operation, to settle the question of the precise delimitation of the IT services markets, as the conclusions of the competitive analysis remain unchanged, regardless of the segmentations retained.  </w:t>
        <w:br/>
        <w:t>10. The activities of the parties to the transaction overlap in two functional categories, namely software development and integration as well as consulting. They also both target a clientele consisting of large enterprises. Finally, they both operate in management application systems and their activities overlap in eight sectors, namely communication, financial services, the public sector, industry, commerce/distribution, services, transport, energy/local networks.</w:t>
      </w:r>
    </w:p>
    <w:p>
      <w:r>
        <w:t xml:space="preserve">B. GEOGRAPHICAL MARKETS  </w:t>
        <w:br/>
        <w:t xml:space="preserve">11. The decision-making practice has considered that the markets for IT services are of national dimension, notably due to the necessity for service providers to communicate regularly in the language of their clients and to maintain a relative proximity to them, even though they have noted a certain internationalization of supply and demand.  </w:t>
        <w:br/>
        <w:t>12. In this case, the competitive analysis will therefore be conducted at the national level.</w:t>
      </w:r>
    </w:p>
    <w:p>
      <w:r>
        <w:rPr>
          <w:b/>
        </w:rPr>
        <w:t>[Pages 4–5]</w:t>
      </w:r>
    </w:p>
    <w:p>
      <w:r>
        <w:t xml:space="preserve">III. Competitive Analysis  </w:t>
        <w:br/>
        <w:t xml:space="preserve">13. The parties argue that the IT services market is highly competitive, involving some 19,000 players at the national level, including large international groups. They estimate that, in a global IT services market valued at 26.4 billion euros in 2011, their combined market share will be less than [0-5]% (with [0-5]% for GFI and approximately [0-5]% for the target).  </w:t>
        <w:br/>
        <w:t xml:space="preserve">14. According to a functional segmentation by type of services, the parties have assessed their combined market share at approximately [5-10]% for software development and integration and [0-5]% for consulting. In the large enterprises segment, their combined turnover represents approximately [0-5]% of the total turnover. Finally, their combined market share does not exceed [0-5]% in the management application systems segment and also remains below [0-5]% in each of the business sectors in which they are simultaneously present.  </w:t>
        <w:br/>
        <w:t xml:space="preserve">15. The parties will continue to face competition from numerous operators whose market shares are significantly higher, such as IBM (9%), Capgemini (7%), Atos Origin (6%), Orange Business Service (4%), or Hewlett-Packard (4%).  </w:t>
        <w:br/>
        <w:t xml:space="preserve">16. In light of the above elements, the notified transaction is not likely to harm competition in the relevant markets.  </w:t>
        <w:br/>
        <w:t xml:space="preserve">IV. Ancillary Restrictions  </w:t>
        <w:br/>
        <w:t xml:space="preserve">17. Article 12 of the deed of transfer of business assets stipulates that Thalès Services SAS commits, both for itself and on behalf of and for the account of other entities of the Thalès group, for which it stands surety, for a period of three years from the date of the transfer of the business assets (i) not to engage, directly or indirectly, within a radius of 50 kilometers around Paris and within a radius of 50 kilometers around Toulouse, in activities competing with the transferred activity with any legal entity that is a party to one of the clients transferred with the assets, (ii) not to engage, directly or indirectly, in France, in activities competing with the transferred activities with the major clients of the transferred division (Thalès Group, EADS, BNP Paribas), (iii) not to engage, directly or indirectly, in France, in activities competing with the "Enterprise Information System Integration" activity with any legal entity that is a party to one of the client contracts at the date of the transfer. Similarly, Article 8 of the commercial agreement signed between the parties on July 27, 2012, stipulates that the operational contracts between GFI and Thalès will include a non-solicitation clause for personnel during the duration of the contract execution, extended by a period of 12 months.  </w:t>
        <w:br/>
        <w:t xml:space="preserve">18. While a non-competition or non-solicitation clause may appear necessary for the acquirer to benefit from certain protection against competition from the seller, in order to be able to retain customers, as well as to assimilate and exploit know-how, such clauses are only justified by the legitimate objective of achieving the concentration to the extent that their duration, territorial scope, and material and personal scope do not exceed what is reasonably necessary for this purpose.  </w:t>
        <w:br/>
        <w:t xml:space="preserve">19. Furthermore, the limitation of the seller's right to purchase or hold shares in a company that competes with the transferred activity cannot be considered directly related and necessary to the achievement of the concentration if it prevents the seller from purchasing or holding these shares solely for investment purposes, without granting it directly or indirectly, management functions or substantial influence in the competing company.  </w:t>
        <w:br/>
        <w:t xml:space="preserve">20. In this case, the non-competition and non-solicitation clauses stipulated in the transfer agreement and the commercial agreement constitute restrictions that are directly related and necessary provided that they do not limit the transferor's ability to purchase or hold shares in competing companies of the new entity for investment purposes, within the limits set out in paragraph 19 of this decision.  </w:t>
        <w:br/>
        <w:t xml:space="preserve">DECIDES  </w:t>
        <w:br/>
        <w:t xml:space="preserve">Sole Article: The notified transaction under number 12-137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