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https://www.autoritedelaconcurrence.fr/fr/decision-de-controle-des-concentrations/relative-la-prise-de-controle-exclusif-par-hensholdt</w:t>
      </w:r>
    </w:p>
    <w:p>
      <w:r>
        <w:t>Pages translated : 2</w:t>
      </w:r>
    </w:p>
    <w:p/>
    <w:p>
      <w:r>
        <w:rPr>
          <w:b/>
        </w:rPr>
        <w:t>[Pages 1–2]</w:t>
      </w:r>
    </w:p>
    <w:p>
      <w:r>
        <w:t xml:space="preserve">FRENCH REPUBLIC  </w:t>
        <w:br/>
        <w:t xml:space="preserve">Decision No. 19-DCC-90 of May 14, 2019  </w:t>
        <w:br/>
        <w:t xml:space="preserve">regarding the acquisition of exclusive control by  </w:t>
        <w:br/>
        <w:t xml:space="preserve">Hensholdt Holding France SAS over Nexeya France SAS  </w:t>
        <w:br/>
        <w:t>The Competition Authority,</w:t>
      </w:r>
    </w:p>
    <w:p>
      <w:r>
        <w:t xml:space="preserve">Having regard to the complete notification file submitted to the mergers department on April 23, 2019,  </w:t>
        <w:br/>
        <w:t>concerning the acquisition of exclusive control by Hensholdt Holding France SAS over Nexeya France SAS, formalized by a transfer deed signed on April 1, 2019;</w:t>
      </w:r>
    </w:p>
    <w:p>
      <w:r>
        <w:t>Having regard to Book IV of the Commercial Code relating to the freedom of prices and competition, and in particular its Articles L. 430-1 to L. 430-7;</w:t>
      </w:r>
    </w:p>
    <w:p>
      <w:r>
        <w:t>Adopts the following decision:</w:t>
      </w:r>
    </w:p>
    <w:p>
      <w:r>
        <w:t>1. The notified transaction consists of the acquisition of exclusive control by Hensholdt Holding France SAS over Nexeya France SAS. It constitutes a concentration within the meaning of Article L. 430-1 of the Commercial Code. Given the revenues generated by the companies concerned,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2. The markets concerned by the transaction are those of defense electronic systems and optronics, consistently defined by the decision-making practice of the competition authorities.</w:t>
      </w:r>
    </w:p>
    <w:p>
      <w:r>
        <w:t>3. Regardless of the segmentations retained, the combined market shares of the parties are below 25%.</w:t>
      </w:r>
    </w:p>
    <w:p>
      <w:r>
        <w:t>4. Considering the elements of the file and in particular point 384 of the guidelines of the Competition Authority regarding the control of concentrations, the transaction is not likely to harm competition.</w:t>
      </w:r>
    </w:p>
    <w:p>
      <w:r>
        <w:t xml:space="preserve">DECIDES  </w:t>
        <w:br/>
        <w:t xml:space="preserve">Sole Article: The transaction notified under number 19-049 is authorized.  </w:t>
        <w:br/>
        <w:t xml:space="preserve">The Vice-President,  </w:t>
        <w:br/>
        <w:t xml:space="preserve">Iréne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