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https://www.autoritedelaconcurrence.fr/fr/decision-de-controle-des-concentrations/relative-la-prise-de-controle-exclusif-par-icade-sa-de-la</w:t>
      </w:r>
    </w:p>
    <w:p>
      <w:r>
        <w:t>Pages translated : 6</w:t>
      </w:r>
    </w:p>
    <w:p/>
    <w:p>
      <w:r>
        <w:rPr>
          <w:b/>
        </w:rPr>
        <w:t>[Pages 1–3]</w:t>
      </w:r>
    </w:p>
    <w:p>
      <w:r>
        <w:t xml:space="preserve">RÉPUBLIQUE FRANÇAISE  </w:t>
        <w:br/>
        <w:t xml:space="preserve">Decision No. 10-DCC-13 of January 29, 2010  </w:t>
        <w:br/>
        <w:t xml:space="preserve">regarding the exclusive control by Icade S.A. of Compagnie la Lucette S.A.  </w:t>
        <w:br/>
        <w:t xml:space="preserve">The Competition Authority,  </w:t>
        <w:br/>
        <w:t xml:space="preserve">Having regard to the notification file submitted in full to the merger service on December 24, 2009, regarding the exclusive control by Icade S.A. of Compagnie la Lucette S.A;  </w:t>
        <w:br/>
        <w:t xml:space="preserve">Having regard to Book IV of the Commercial Code relating to price freedom and competition, and in particular its Articles L. 430-1 to L. 430-7;  </w:t>
        <w:br/>
        <w:t xml:space="preserve">Adopts the following decision:  </w:t>
        <w:br/>
        <w:t xml:space="preserve">I. The companies concerned and the operation  </w:t>
        <w:br/>
        <w:t xml:space="preserve">1. Icade S.A. (hereinafter "Icade") is a real estate company that has opted for the status of a listed real estate investment company, whose majority shareholder is the Caisse des Dépôts et Consignations (hereinafter "CDC") holding 58.6% of the capital and 59.16% of the voting rights, the remainder of the capital being held by Paris North Real Estate (4.2%), employees (0.8%), the company itself (0.9%) or constituting floating capital (35.5%). Icade holds and manages for its own account a portfolio of real estate assets for commercial and residential use. Icade is also active in the real estate development sector, and as a property manager for institutional investors and individuals. Additionally, Icade provides real estate consulting, real estate appraisal services, and acts as an intermediary by conducting transactions on behalf of institutional clients, both for their housing and their offices.  </w:t>
        <w:br/>
        <w:t>2. The CDC is a public establishment with a special legal status, governed by Articles L. 518-2 and following of the Monetary and Financial Code, which stipulates that the CDC and its subsidiaries constitute a public group serving the general interest and the economic development of the country. The worldwide turnover excluding taxes of the CDC group amounted to 19.3 billion euros in 2008, the last closed fiscal year, of which 15.9 billion euros in France.</w:t>
      </w:r>
    </w:p>
    <w:p>
      <w:r>
        <w:t xml:space="preserve">3. Compagnie la Lucette is a public limited company under French law, owned by MSREF Turque S.A.R.L. (hereinafter "MSREF Turque"), a real estate fund belonging to the Morgan Stanley group, holding 94.5% of the capital and 94.6% of the voting rights, with the remainder held by the company itself or constituting floating capital. The main activity of Compagnie la Lucette is the purchase, construction, renovation, management, and rental of real estate assets for commercial use. Its portfolio of real estate assets mainly consists of offices and warehouses located in the Ile-de-France region and various French industrial activity zones. In 2008, the last closed fiscal year, Compagnie la Lucette achieved a worldwide turnover excluding taxes of 106 million euros, exclusively in France.  </w:t>
        <w:br/>
        <w:t xml:space="preserve">4. As a result of the operation, Icade will have acquired MSREF Turque's stake in Compagnie la Lucette, thereby taking exclusive control. MSREF Turque will become a minority shareholder of Icade holding 4.54%, with the CDC retaining the majority of the capital of the latter.  </w:t>
        <w:br/>
        <w:t xml:space="preserve">5. Insofar as it results in the exclusive control of Compagnie la Lucette by the CDC group, via Icade, the operation constitutes a concentration within the meaning of Article L.430-1 of the Commercial Code. In light of the turnover achieved by the companies concerned, it does not present a community dimension. However, the thresholds provided for in Article L.430-2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THE RELEVANT SERVICE MARKETS  </w:t>
        <w:br/>
        <w:t>6. The national and community competition authorities have considered, while leaving the question open, various segmentations in the real estate services sector1: according to the recipients of the services, the properties being intended either for individuals, the concerned buildings being for residential use, or for businesses, the concerned buildings being for commercial or professional use; according to the pricing method, between free residential real estate and social or intermediate housing, the latter falling within a regulatory framework2;</w:t>
      </w:r>
    </w:p>
    <w:p>
      <w:r>
        <w:t xml:space="preserve">particular in which the State plays an important role, both in terms of financial aid and in the allocation of housing2; according to the type of activity carried out in the premises, between offices3, commercial premises4, and other activity premises such as warehouses, hotels5; according to the nature of the services or goods offered6  </w:t>
        <w:br/>
        <w:t xml:space="preserve">7. For this last segmentation axis, the distinction was considered between: real estate development7 which includes construction and sale activities of real estate; real estate asset management for own account8; real estate asset management for third-party account (institutional investors, mainly banks and insurance companies) which covers (i) advice and real estate portfolio management (arbitrage and asset valuation), (ii) structuring real estate investment operations and (iii) managing real estate assets and specialized investment vehicles (notably civil real estate companies); property management which encompasses the activities of managing buildings on behalf of owners and can be segmented between rental management and co-ownership management; real estate appraisal; real estate consulting; intermediation in real estate transactions for which intermediation in purchase/sale operations is distinguished from intermediation in rental operations9.  </w:t>
        <w:br/>
        <w:t xml:space="preserve">8. In this case, the parties to the operation are simultaneously active in the markets for managing their own real estate assets for office use, real estate assets for warehouse use, and hotels.  </w:t>
        <w:br/>
        <w:t xml:space="preserve">2 See Decision C2002-112 / Letter from the Minister of Economy, Finance and Industry of November 8, 2002, to the advisors of Gecina regarding a concentration in the real estate assets sector, B.O.C.C.R.F. No. 2003-1, Letter from the Minister of Economy, Finance and Industry C2005-42 of May 27, 2005, to the advisors of the Caisse nationale des caisses d’épargne regarding a concentration in the real estate sector, B.O.C.C.R.F. No. 2 of March 2, 2006.  </w:t>
        <w:br/>
        <w:t xml:space="preserve">3 See Decision C2003-66 / Letter from the Minister of Economy, Finance and Industry of April 17, 2003, to the advisors of CBRE Holding Inc. regarding a concentration in the real estate services sector for which a market for office brokerage was considered, B.O.C.C.R.F. No. 2003-11.  </w:t>
        <w:br/>
        <w:t xml:space="preserve">4 See Decision C2004-123 – Letter from the Minister of Economy, Finance and Industry, of July 22, 2004, to the advisors of Immobiliaria Colonial SA regarding a concentration in the commercial premises rental sector, B.O.C.C.R.F. No. 2005-9.  </w:t>
        <w:br/>
        <w:t xml:space="preserve">5 See the decision of the European Commission COMP/M.2863 Morgan Stanley / Olivetti / Telecom Italia / Tiglio of August 30, 2002.  </w:t>
        <w:br/>
        <w:t xml:space="preserve">6 C2005-126 / Letter from the Minister of Economy, Finance and Industry of January 25, 2006, to the advisors of Perexia regarding a concentration in the real estate services sector, B.O.C.C.R.F. No. 2006-06; C2004-79 cited above; decision of the European Commission COMP/M.3370 BNP Paribas/ARI of March 9, 2004.  </w:t>
        <w:br/>
        <w:t xml:space="preserve">7 See Decision C2007-166 / Letter from the Minister of Economy, Finance and Employment of December 20, 2007, to the advisors of the Nexity group, regarding a concentration in the real estate development sector, B.O.C.C.R.F. No. 2 bis of February 28, 2008.  </w:t>
        <w:br/>
        <w:t xml:space="preserve">8 See the Perexia decision of the Minister of Economy of January 25, 2006, the decision of the Minister of Economy Lehman Brothers of May 10, 2007.  </w:t>
        <w:br/>
        <w:t>9 See Decision C2005-126/ Letter from the Minister of Economy, Finance and Industry of January 25, 2006, to the advisors of Perexia, regarding a concentration in the real estate services sector, B.O.C.C.R.F. No. 6 of June 21, 2006.</w:t>
      </w:r>
    </w:p>
    <w:p>
      <w:r>
        <w:rPr>
          <w:b/>
        </w:rPr>
        <w:t>[Pages 4–6]</w:t>
      </w:r>
    </w:p>
    <w:p>
      <w:r>
        <w:t>9. Furthermore, the Company La Lucette uses external service providers to perform services related to the administration of real estate for commercial use, real estate consulting, real estate appraisal, or intermediation in real estate transactions and could, therefore, be a client of the CDC. However, given the low purchase volumes of the Company La Lucette in these different sectors, the operation is not likely to harm competition through vertical effects in these markets, which will not be subject to specific analysis.</w:t>
      </w:r>
    </w:p>
    <w:p>
      <w:r>
        <w:t>B. THE GEOGRAPHICAL MARKETS</w:t>
      </w:r>
    </w:p>
    <w:p>
      <w:r>
        <w:t>10. The French and Community competition authorities have considered that the markets related to the real estate sector are of local dimension, while leaving the question open.</w:t>
      </w:r>
    </w:p>
    <w:p>
      <w:r>
        <w:t>11. The parties to the present operation are simultaneously active in the management for their own account of real estate assets for office use in the Ile-de-France region, more specifically in Paris (75), in Hauts-de-Seine (92), and in Val-de-Marne (94)* and the management for their own account of real estate assets for warehouse use in the Ile-de-France region and in the provinces, more precisely in Bouches-du-Rhône (13), Rhône (69), and Essonne (91). Regarding hotel management, the operation does not entail any geographical overlaps.</w:t>
      </w:r>
    </w:p>
    <w:p>
      <w:r>
        <w:t>12. For the Ile-de-France region, the Minister of Economy noted that "the Paris region has particular properties of continuity of urban areas. Indeed, there is a vast, highly urbanized, and homogeneous area covering most of Ile-de-France, served by a comprehensive transport network; residents are always able to arbitrate between different parts of the region. This substitutability leads to a convergence at the price level. Therefore, the regional level is the most appropriate for competitive analysis."</w:t>
      </w:r>
    </w:p>
    <w:p>
      <w:r>
        <w:t>For other regions, the competition authorities conducted their competitive analyses at the regional or sub-regional level.</w:t>
      </w:r>
    </w:p>
    <w:p>
      <w:r>
        <w:t>13. In this case, the analysis will be conducted, for Ile-de-France, at the regional and departmental level, and, for the provinces, at the departmental level.</w:t>
      </w:r>
    </w:p>
    <w:p>
      <w:r>
        <w:t>* * *</w:t>
      </w:r>
    </w:p>
    <w:p>
      <w:r>
        <w:t>14. The question of the exact delimitation of the product and geographical markets in the real estate sector may, however, be left open in this decision, as the conclusions of the competitive analysis would remain unchanged regardless of the solutions adopted.</w:t>
      </w:r>
    </w:p>
    <w:p>
      <w:r>
        <w:t>10 See in particular decision 09-DCC-16 of June 22, 2009, of the Competition Authority regarding the merger between the Caisse d’Epargne and Banque Populaire groups, the letter from the Minister of Economy, Finance and Industry dated November 25, 2005, to the advisors of the company Foncière des Régions regarding a concentration in the real estate sector, decision M. 2825 of July 9, 2002, Fortis AG SA / Bernheim-Comofi SA.</w:t>
      </w:r>
    </w:p>
    <w:p>
      <w:r>
        <w:t>11 Decision C2006-151 of the Minister of Economy SNI / EFIDIS of January 10, 2007.</w:t>
      </w:r>
    </w:p>
    <w:p>
      <w:r>
        <w:t>* Material error corrected.</w:t>
      </w:r>
    </w:p>
    <w:p>
      <w:r>
        <w:t>III. Competitive Analysis</w:t>
      </w:r>
    </w:p>
    <w:p>
      <w:r>
        <w:t>A. THE MARKET FOR OFFICE MANAGEMENT FOR OWN ACCOUNT</w:t>
      </w:r>
    </w:p>
    <w:p>
      <w:r>
        <w:t>15. In the Île-de-France region, the notifying party estimated the size of this market in volume at 51 million m². The CDC and La Lucette manage respectively […] m² and […] m² of offices in this region, representing [0-5]% and [0-5]% market shares. The new entity will therefore have an estimated market share of [0-5]% in the market for office management for own account in Ile-de-France.</w:t>
      </w:r>
    </w:p>
    <w:p>
      <w:r>
        <w:t>16. At the departmental level, the notifying party estimated the size of this market at 16 million m² for Paris, 11.5 million m² for Hauts-de-Seine, and 3.6 million m² for Val-de-Marne, leading to the following market share estimates*:</w:t>
      </w:r>
    </w:p>
    <w:p>
      <w:r>
        <w:t>Departments Parties to the operation Office Area Market Shares (m²)</w:t>
        <w:br/>
        <w:t>CDC […] [0-5]%</w:t>
        <w:br/>
        <w:t>Paris Cie La Lucette […] [0-5]%</w:t>
        <w:br/>
        <w:t>Total […] [0-5]%</w:t>
        <w:br/>
        <w:t>CDC […] [0-5]%</w:t>
        <w:br/>
        <w:t>Hauts-de-Seine (92) Cie La Lucette […] [0-5]%</w:t>
        <w:br/>
        <w:t>Total […] [0-5]%</w:t>
        <w:br/>
        <w:t>CDC […] [0-5]%</w:t>
        <w:br/>
        <w:t>Val-de-Marne (94) Cie La Lucette […] [0-5]%</w:t>
        <w:br/>
        <w:t>Total […] [0-5]%</w:t>
      </w:r>
    </w:p>
    <w:p>
      <w:r>
        <w:t>17. In this fragmented market, the merged entity will face competition from numerous operators such as real estate companies, including listed real estate investment companies Gecina, Cilic, Unibail, Société Foncière Lyonnaise, or Klépierre, as well as insurance companies, investment funds, and banks.</w:t>
      </w:r>
    </w:p>
    <w:p>
      <w:r>
        <w:t>18. Therefore, this operation is not likely to harm competition in the markets for office management for own account.</w:t>
      </w:r>
    </w:p>
    <w:p>
      <w:r>
        <w:t>B. THE MARKET FOR WAREHOUSE MANAGEMENT FOR OWN ACCOUNT</w:t>
      </w:r>
    </w:p>
    <w:p>
      <w:r>
        <w:t>19. In Ile-de-France, the volume size of the warehouse asset market is estimated at 35,000,000 m². The CDC and La Lucette hold respectively […] m² and […] m² of warehouses, representing respectively [0-5]% and [0-5]% of this market. The new entity will therefore have an estimated market share of less than [0-5]% in the warehouse management market in Ile-de-France.</w:t>
      </w:r>
    </w:p>
    <w:p>
      <w:r>
        <w:t>* Material error corrected.</w:t>
      </w:r>
    </w:p>
    <w:p>
      <w:r>
        <w:t>20. For the Essonne department, the notifying party was unable to provide an accurate estimate of its position in this market but nonetheless estimated that with […] m² of activity premises (other than offices and commercial premises) managed by the CDC and […] m² of warehouses managed by Company La Lucette, the new entity would have a market share of less than [0-5]% in this department.</w:t>
      </w:r>
    </w:p>
    <w:p>
      <w:r>
        <w:t>21. For the Rhône department, the notifying party estimated based on data from the Lyon Economic Partnership Observatory (hereinafter "OPALE") the market shares of CDC at [10-20]% and La Compagnie La Lucette at less than [0-5]%. However, it mentioned that these estimates are based on the total area of warehouses located in Greater Lyon and East Lyon (estimated at 1,600,000 m²) and not on the entire department, so these estimates could overstate the actual market shares of the parties to the operation.</w:t>
      </w:r>
    </w:p>
    <w:p>
      <w:r>
        <w:t>22. For the Bouches-du-Rhône department, the notifying party estimated, based on market data for the Provence-Alpes-Côte-D’Azur ("PACA") region and the share that the Bouches-du-Rhône department represents in the Gross Domestic Product of the PACA region, that the size of the market would be, at a minimum*, 900,000 m², which corresponds to market shares of [10-20]% and [5-10]% for CDC and Company La Lucette, at a maximum.</w:t>
      </w:r>
    </w:p>
    <w:p>
      <w:r>
        <w:t>23. Across all these regions and departments, the new entity should face competition from national players such as Prologis, Gecina, Axa, DEL, AMB, Parcolog (of the Generali group), and Foncière Europe Logistique (of the Foncière des régions group). The operation is therefore not likely to harm competition in the markets for warehouse management for own account.</w:t>
      </w:r>
    </w:p>
    <w:p>
      <w:r>
        <w:t>DECIDES</w:t>
      </w:r>
    </w:p>
    <w:p>
      <w:r>
        <w:t>Single Article: The operation notified under number 09-0140 is authorized.</w:t>
      </w:r>
    </w:p>
    <w:p>
      <w:r>
        <w:t>The President,</w:t>
        <w:br/>
        <w:t>Bruno Lasserre</w:t>
        <w:br/>
        <w:t>Competition Authority</w:t>
      </w:r>
    </w:p>
    <w:p>
      <w:r>
        <w:t>* Material error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