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https://www.autoritedelaconcurrence.fr/fr/decision-de-controle-des-concentrations/relative-la-prise-de-controle-exclusif-par-klepierre-sa-de</w:t>
      </w:r>
    </w:p>
    <w:p>
      <w:r>
        <w:t>Pages translated : 8</w:t>
      </w:r>
    </w:p>
    <w:p/>
    <w:p>
      <w:r>
        <w:rPr>
          <w:b/>
        </w:rPr>
        <w:t>[Pages 1–3]</w:t>
      </w:r>
    </w:p>
    <w:p>
      <w:r>
        <w:t xml:space="preserve">FRENCH REPUBLIC  </w:t>
        <w:br/>
        <w:t xml:space="preserve">Decision No. 14-DCC-166 of November 13, 2014  </w:t>
        <w:br/>
        <w:t xml:space="preserve">regarding the exclusive control by Klépierre SA of Corio NV  </w:t>
        <w:br/>
        <w:t xml:space="preserve">The Competition Authority,  </w:t>
        <w:br/>
        <w:t xml:space="preserve">Having regard to the notification file submitted in full to the merger service on October 8, 2014, regarding the exclusive control by Klépierre SA of Corio NV, formalized by a merger agreement and a shareholders' pact dated July 29,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Klépierre is a French public limited company specialized in the management of shopping centers. It is primarily present in Spain, France, Poland, and the Czech Republic. 47.85% of Klépierre's capital is floating (48.81% of the voting rights), the remainder is held by Simon Property Group (29.47% of the voting rights), BNP Paribas (21.72% of the voting rights), and 1.96% of the capital is held in self-control without voting rights. No shareholder holds a right that could confer control over Klépierre within the meaning of merger control law.  </w:t>
        <w:br/>
        <w:t xml:space="preserve">2. Corio is a Dutch company active in the sector of holding and managing real estate assets for its own account, particularly shopping centers. Prior to the operation, Corio owns and operates 12 shopping centers in France.  </w:t>
        <w:br/>
        <w:t>3. The contemplated operation consists of a friendly public exchange offer (hereinafter "the offer") launched by Klépierre and targeting the entirety of Corio's capital, the offer being able to be declared unconditional only if 80 to 95% of Corio's capital is tendered to the offer. At the end of the operation, the majority of Corio's capital will therefore be held by Klépierre. Under the governance arrangements provided for by the shareholders' pact of July 29, 2014, the contribution of Corio's shareholders and their entry into Klépierre's capital will have no impact on the control structure of the latter within the meaning of merger control law.</w:t>
      </w:r>
    </w:p>
    <w:p>
      <w:r>
        <w:t xml:space="preserve">4. Consequently, the notified operation results in the exclusive control of Klépierre SA over Corio NV. The operation therefore constitutes a concentration within the meaning of Article L. 430-1 of the Commercial Code.  </w:t>
        <w:br/>
        <w:t xml:space="preserve">5. The companies concerned together achieved a consolidated worldwide turnover excluding taxes of more than 150 million euros in the last completed financial year (Klépierre: 1.08 billion euros for the financial year ending December 31, 2013; Corio: 462.2 million euros for the same financial year). Each of them achieved a turnover in France exceeding 50 million euros (Klépierre: [...] euros for the financial year ending December 31, 2013; Corio: [...] euros for the same financial year). Given these turnovers, the operation does not fall under the competence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parties to the operation are simultaneously active in the sector of holding and managing real estate for their own account of shopping centers.  </w:t>
        <w:br/>
        <w:t xml:space="preserve">A. DELIMITATION OF PRODUCT AND SERVICE MARKETS  </w:t>
        <w:br/>
        <w:t xml:space="preserve">7. National and community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such as warehouses, hotels, etc.) and (iv) the nature of the services or goods offered.  </w:t>
        <w:br/>
        <w:t xml:space="preserve">1 The turnover figures corrected for disposals occurring since December 31, 2013, are 1.08 billion total turnover, of which [...] euros in France for Klépierre and 523 million euros of which [...] euros in France for Corio.  </w:t>
        <w:br/>
        <w:t xml:space="preserve">2 See in particular the decisions of the Competition Authority No. 13-DCC-180 of July 3, 2013, regarding the joint control of the urban skills pole of Bordeaux by Midi Foncière 2 and the Caisse des Dépôts et Consignations; No. 11-DCC-178 of December 13, 2011, regarding the joint control by the Caisse des Dépôts et Consignations and CNP Assurances of Althazar SAS; No. 10-DCC-112 of September 17, 2010, regarding the joint control by Prédica and Altaréa of Alta Marigny Carré de Soie; No. 10-DCC-13 of January 29, 2010, regarding the exclusive control by Icade S.A. of Compagnie la Lucette S.A.; the letter from the Minister of Economy, Industry and Employment C2008-79 of August 22, 2008, to the advisors of CDC and Eurosic, regarding a concentration in the real estate sector.  </w:t>
        <w:br/>
        <w:t xml:space="preserve">3 See the letter from the Minister of Economy, Finance and Industry C2002-112 of November 8, 2002, to the advisors of Gecina regarding a concentration in the real estate assets sector.  </w:t>
        <w:br/>
        <w:t xml:space="preserve">4 See the decision of the Competition Authority No. 11-DCC-178 of December 13, 2011, cited above; the letters from the Minister of Economy C2007-85 of July 16, 2007, to the advisors of Compagnie Altarea Habitation, regarding a concentration in the residential real estate development sector, and C2006-151 of January 10, 2007, to the board of Société Nationale Immobilière, regarding a concentration in the development and management of real estate parks primarily for residential purposes; the decision of the European Commission COMP/M.3370 of March 9, 2004, BNP Paribas / Ari.  </w:t>
        <w:br/>
        <w:t>5 See the decisions of the Competition Authority No. 11-DCC-178 of December 13, 2011, and No. 10-DCC-112 of September 17, 2010, cited above, and the letter from the Minister of Economy C2007-52 of May 22, 2007, to the advisors of Unibail, regarding a concentration in the real estate services sector.</w:t>
      </w:r>
    </w:p>
    <w:p>
      <w:r>
        <w:t xml:space="preserve">8. Regarding segmentation according to the nature of services or goods offered, the decisional practice has considered the distinction between:  </w:t>
        <w:br/>
        <w:t xml:space="preserve">(i) real estate development, which includes construction and sale activities of real estate properties;  </w:t>
        <w:br/>
        <w:t xml:space="preserve">(ii) real estate asset management for own account;  </w:t>
        <w:br/>
        <w:t xml:space="preserve">(iii) real estate asset management for third-party account;  </w:t>
        <w:br/>
        <w:t xml:space="preserve">(iv) real estate administration, which covers property management activities on behalf of owners and can be segmented between rental management and co-ownership management;  </w:t>
        <w:br/>
        <w:t xml:space="preserve">(v) real estate appraisal;  </w:t>
        <w:br/>
        <w:t xml:space="preserve">(vi) real estate consulting;  </w:t>
        <w:br/>
        <w:t xml:space="preserve">(vii) intermediation in real estate transactions, an activity within which a distinction can be made between the sale and rental of properties.  </w:t>
        <w:br/>
        <w:t xml:space="preserve">9. In this case, the parties are simultaneously present in the market for holding and managing real estate assets for their own account of commercial premises, and in particular shopping centers.  </w:t>
        <w:br/>
        <w:t xml:space="preserve">10. French decisional practice, while leaving the question open, has also considered a segmentation between shopping centers and commercial premises at the foot of buildings, as well as a segmentation of shopping centers according to their size, namely:  </w:t>
        <w:br/>
        <w:t xml:space="preserve">(i) small shopping centers ("PCC"), whose useful commercial area is between 5,000 and 20,000 m² and which contain between 20 and 40 shops (stores and services);  </w:t>
        <w:br/>
        <w:t xml:space="preserve">(ii) large shopping centers ("GCC"), whose useful commercial area is between 20,000 and 40,000 m² and which contain between 40 and 80 shops;  </w:t>
        <w:br/>
        <w:t xml:space="preserve">(iii) regional shopping centers ("CCR"), whose useful commercial area exceeds 40,000 m² and whose number of shops exceeds 80; and  </w:t>
        <w:br/>
        <w:t xml:space="preserve">(iv) specialized theme centers ("CCT"), for example, in home equipment and manufacturer shops.  </w:t>
        <w:br/>
        <w:t>11. The notifying party considers that a segmentation between shopping centers and ground-floor premises would not reflect the competitive dynamics of the market. Some small shopping galleries adjacent to large distribution complexes, whose useful commercial area and/or number of shops are below the thresholds of small shopping centers, as well as configurations of city center shops, would compete with shopping centers. Thus, retail parks and certain city center shops would exert competitive pressure on shopping centers. However, the notifying party acknowledges the difficulty in estimating market sizes and precisely identifying competitors in markets that include all commercial premises in a catchment area.</w:t>
      </w:r>
    </w:p>
    <w:p>
      <w:r>
        <w:rPr>
          <w:b/>
        </w:rPr>
        <w:t>[Pages 4–6]</w:t>
      </w:r>
    </w:p>
    <w:p>
      <w:r>
        <w:t>12. In its decision no. 14-DCC-36, the Authority had determined that shopping malls with fewer than 20 shops and less than 5,000 m² could only exert limited competitive pressure on PCCs, given the composition of these shopping malls, which mainly consist of service shops (florist, dry cleaner, etc.) and not national brands, except when they are located in city centers. The existence of competitive pressure exerted by this type of shopping mall on GCCs and CCRs had, however, been excluded. The potential competitive pressure from retail parks and city center shops must therefore be assessed on a case-by-case basis.</w:t>
      </w:r>
    </w:p>
    <w:p>
      <w:r>
        <w:t>13. The notifying party also considers that a segmentation by the size or nature of shopping centers is not relevant as all would be in competition, with brands wishing to rent space within a shopping center primarily considering criteria related to the attractiveness of the center and the presence of competing stores. The criterion of the size of the shopping center would therefore not be decisive.</w:t>
      </w:r>
    </w:p>
    <w:p>
      <w:r>
        <w:t>14. In this case, the question of the exact delimitation of these relevant markets will, however, be left open, with the conclusions of the competitive analysis remaining unchanged, regardless of the delimitations retained.</w:t>
      </w:r>
    </w:p>
    <w:p>
      <w:r>
        <w:t>B. GEOGRAPHICAL DELIMITATION OF MARKETS</w:t>
      </w:r>
    </w:p>
    <w:p>
      <w:r>
        <w:t>15. The decisional practice has considered that the markets for self-managed shopping centers could be of national or subnational dimension, while leaving the question open.</w:t>
      </w:r>
    </w:p>
    <w:p>
      <w:r>
        <w:t>16. At the national level, the decisional practice has already noted that part of the demand comes from groups of national scope following a strategy of establishment in shopping centers according to a logic of territorial coverage. Furthermore, it has considered, while leaving the question open, that the market for real estate services is of national dimension when investments are made by large professional investors.</w:t>
      </w:r>
    </w:p>
    <w:p>
      <w:r>
        <w:t>17. At the subnational level, two levels of analysis have so far been retained: the region and the agglomeration, with the analysis generally conducted at the regional level when the size of the urban area is too small to allow for a genuine competitive analysis.</w:t>
      </w:r>
    </w:p>
    <w:p>
      <w:r>
        <w:t>18. With regard specifically to Île-de-France, the decisional practice holds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w:t>
      </w:r>
    </w:p>
    <w:p>
      <w:r>
        <w:t>19. In this case, the analysis will be conducted at the national, regional, and local levels. The question of the exact delimitation of these relevant geographical markets will be left open, with the conclusions of the competitive analysis remaining unchanged, regardless of the delimitations retained.</w:t>
      </w:r>
    </w:p>
    <w:p>
      <w:r>
        <w:t>III. Competitive Analysis</w:t>
      </w:r>
    </w:p>
    <w:p>
      <w:r>
        <w:t>20. The notifying party estimated the market shares of the new entity and its competitors expressed in sales area, according to the size of the shopping centers.</w:t>
      </w:r>
    </w:p>
    <w:p>
      <w:r>
        <w:t>A. COMPETITIVE ANALYSIS AT THE NATIONAL LEVEL</w:t>
      </w:r>
    </w:p>
    <w:p>
      <w:r>
        <w:t>21. At the national level, the new entity provided estimates of its market share in the market for self-managed shopping centers, encompassing all types of shopping centers and by category of shopping centers:</w:t>
      </w:r>
    </w:p>
    <w:p>
      <w:r>
        <w:t xml:space="preserve">Market Shares Market Shares Market Shares  </w:t>
        <w:br/>
        <w:t xml:space="preserve">National Market  </w:t>
        <w:br/>
        <w:t xml:space="preserve">Klépierre Corio Combined  </w:t>
        <w:br/>
        <w:t xml:space="preserve">Management of shopping centers for own account, all types of shopping centers [5-10] % [0-5] % [5-10] %  </w:t>
        <w:br/>
        <w:t xml:space="preserve">PCC [0-5] % [0-5] % [5-10] %  </w:t>
        <w:br/>
        <w:t xml:space="preserve">GCC [0-5] % [0-5] % [0-5] %  </w:t>
        <w:br/>
        <w:t xml:space="preserve">CCR [10-20] % [0-5] % [10-20] %  </w:t>
        <w:br/>
        <w:t>CCT [5-10] % [0-5] % [10-20] %</w:t>
      </w:r>
    </w:p>
    <w:p>
      <w:r>
        <w:t>22. Regardless of the market segmentation retained, the market shares of the new entity will therefore not exceed [10-20] % at the national level, with increments limited to less than [0-5] %. Furthermore, the new entity will continue to face competition from several significant operators, such as Carrefour, Unibail-Rodamco, or Mercialys.</w:t>
      </w:r>
    </w:p>
    <w:p>
      <w:r>
        <w:t>23. Consequently, the risks of harm to competition can be ruled out in the national market for the ownership and self-management of shopping centers.</w:t>
      </w:r>
    </w:p>
    <w:p>
      <w:r>
        <w:t>B. COMPETITIVE ANALYSIS AT THE REGIONAL LEVEL</w:t>
      </w:r>
    </w:p>
    <w:p>
      <w:r>
        <w:t>24. The parties to the operation are simultaneously active in the regions of Île-de-France, Midi-Pyrénées, Provence-Alpes-Côte d’Azur, and Rhône-Alpes.</w:t>
      </w:r>
    </w:p>
    <w:p>
      <w:r>
        <w:t>25. In the Midi-Pyrénées region, the operation entails an overlap in the overall market for the management of shopping centers. However, the increment in market share resulting from the operation remains relatively low (approximately […] points) and the position of the new entity, with [20-30] % of the areas, will remain moderate. Moreover, the activities of the parties do not overlap in any of the different market segments defined by category of shopping center.</w:t>
      </w:r>
    </w:p>
    <w:p>
      <w:r>
        <w:t>26. Consequently, the operation is not likely to harm competition in the market for the ownership and management of shopping centers in the Midi-Pyrénées region.</w:t>
      </w:r>
    </w:p>
    <w:p>
      <w:r>
        <w:t>27. The impact of the operation in the other regions is as follows:</w:t>
      </w:r>
    </w:p>
    <w:p>
      <w:r>
        <w:t xml:space="preserve">Market Share Klépierre Market Share Corio Combined  </w:t>
        <w:br/>
        <w:t xml:space="preserve">Île-de-France  </w:t>
        <w:br/>
        <w:t xml:space="preserve">All types of shopping centers [5-10] % [0-5] % [5-10] %  </w:t>
        <w:br/>
        <w:t xml:space="preserve">PCC [0-5] % [0-5] % [0-5] %  </w:t>
        <w:br/>
        <w:t xml:space="preserve">GCC [0-5] % - [0-5] %  </w:t>
        <w:br/>
        <w:t xml:space="preserve">CCR [10-20] % - [10-20] %  </w:t>
        <w:br/>
        <w:t>CCT [10-20] % - [10-20] %</w:t>
      </w:r>
    </w:p>
    <w:p>
      <w:r>
        <w:t xml:space="preserve">Provence-Alpes-Côte d’Azur  </w:t>
        <w:br/>
        <w:t xml:space="preserve">All types of shopping centers [0-5] % [5-10] % [5-10] %  </w:t>
        <w:br/>
        <w:t xml:space="preserve">GCC [5-10] % [0-5] % [10-20] %  </w:t>
        <w:br/>
        <w:t>CCR - [5-10] % [5-10] %</w:t>
      </w:r>
    </w:p>
    <w:p>
      <w:r>
        <w:t xml:space="preserve">Rhône-Alpes  </w:t>
        <w:br/>
        <w:t xml:space="preserve">All types of shopping centers [0-5] % [5-10] % [10-20] %  </w:t>
        <w:br/>
        <w:t xml:space="preserve">PCC [10-20] % - [10-20] %  </w:t>
        <w:br/>
        <w:t xml:space="preserve">GCC - [5-10] % [5-10] %  </w:t>
        <w:br/>
        <w:t>CCR [0-5] % [10-20] % [10-20] %</w:t>
      </w:r>
    </w:p>
    <w:p>
      <w:r>
        <w:t>28. It follows from this table that the market shares of the new entity will remain below [10-20] % in the overall market for the management of shopping centers in Île-de-France, Provence-Alpes-Côte d’Azur, and Rhône-Alpes.</w:t>
      </w:r>
    </w:p>
    <w:p>
      <w:r>
        <w:t>29. Furthermore, in the segments where the activities of the parties overlap, namely the PCC, the market share of the new entity will not exceed [10-20] %, regardless of the segment or region concerned.</w:t>
      </w:r>
    </w:p>
    <w:p>
      <w:r>
        <w:rPr>
          <w:b/>
        </w:rPr>
        <w:t>[Pages 7–8]</w:t>
      </w:r>
    </w:p>
    <w:p>
      <w:r>
        <w:t xml:space="preserve">30. Consequently, the operation is not likely to harm competition in the market for the ownership and management for own account of shopping centers in the Île-de-France, Provence-Alpes-Côte-D’azur, and Rhône-Alpes regions, regardless of the segmentation considered.  </w:t>
        <w:br/>
        <w:t xml:space="preserve">C. COMPETITIVE ANALYSIS AT THE LOCAL LEVEL  </w:t>
        <w:br/>
        <w:t xml:space="preserve">31. The local analysis of the acquired assets and Klépierre's presence shows that the proposed operation will lead to an overlap of activities only in the Marseille metropolitan area.  </w:t>
        <w:br/>
        <w:t xml:space="preserve">32. Considering the different segmentations of the market for the management of shopping centers for own account, the operation results in the following market shares in this area:  </w:t>
        <w:br/>
        <w:t xml:space="preserve">Types of center Market Share Market Share  </w:t>
        <w:br/>
        <w:t xml:space="preserve">Local Area Cumulative  </w:t>
        <w:br/>
        <w:t xml:space="preserve">Commercial Klépierre Corio  </w:t>
        <w:br/>
        <w:t xml:space="preserve">Global Market [5-10] % [5-10] % [10-20] %  </w:t>
        <w:br/>
        <w:t xml:space="preserve">Marseille Metropolitan Area  </w:t>
        <w:br/>
        <w:t xml:space="preserve">GCC [10-20] % - [10-20] %  </w:t>
        <w:br/>
        <w:t xml:space="preserve">CCR - [10-20] % [10-20] %  </w:t>
        <w:br/>
        <w:t xml:space="preserve">33. It follows from this table that, in this area, the activities of the parties do not overlap in the market segments by size of shopping center. In the overall market for the management of shopping centers for own account, the market shares of the new entity will reach [10-20] %, with an increment due to the operation of [5-10] %.  </w:t>
        <w:br/>
        <w:t xml:space="preserve">34. In the Marseille metropolitan area, the market for the management of shopping centers is relatively fragmented, so the new entity will continue to face competition from numerous national operators such as Carrefour ([10-20] %), Immochan ([10-20] %), Hammerson ([5-10] %), Casino ([5-10] %), Mercialys ([5-10] %), or Grosvenor ([0-5] %).  </w:t>
        <w:br/>
        <w:t>35. Consequently, the notified operation is not likely to harm competition in the market for the management for own account of shopping centers in the Marseille metropolitan area.</w:t>
      </w:r>
    </w:p>
    <w:p>
      <w:r>
        <w:t xml:space="preserve">DECIDES  </w:t>
        <w:br/>
        <w:t xml:space="preserve">Sole Article: The operation notified under number 14-148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