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https://www.autoritedelaconcurrence.fr/fr/decision-de-controle-des-concentrations/relative-la-prise-de-controle-exclusif-par-la-societe-0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11-DCC-14 of February 1, 2011  </w:t>
        <w:br/>
        <w:t xml:space="preserve">regarding the exclusive control acquisition by the company Centrale  </w:t>
        <w:br/>
        <w:t xml:space="preserve">Automobile Strasbourg SAS of five businesses operated by  </w:t>
        <w:br/>
        <w:t xml:space="preserve">the company Moselle Automobiles SA  </w:t>
        <w:br/>
        <w:t xml:space="preserve">The Competition Authority,  </w:t>
        <w:br/>
        <w:t xml:space="preserve">Having regard to the complete notification file submitted to the mergers department on  </w:t>
        <w:br/>
        <w:t xml:space="preserve">December 30, 2010, concerning the acquisition by the company Centrale Automobile Strasbourg SAS  </w:t>
        <w:br/>
        <w:t xml:space="preserve">of five businesses currently operated by the company Moselle Automobiles SA,  </w:t>
        <w:br/>
        <w:t xml:space="preserve">formalized by a synallagmatic promise of sale dated December 16, 2010;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by the company Centrale  </w:t>
        <w:br/>
        <w:t xml:space="preserve">Automobile Strasbourg SAS of the company Moselle Automobiles SA. The latter is owned by  </w:t>
        <w:br/>
        <w:t xml:space="preserve">the holding company HGB controlled by the X family and is engaged in the operation of five businesses  </w:t>
        <w:br/>
        <w:t xml:space="preserve">located in three municipalities of Moselle: Saint Avold, Forbach, and Creutzwald.  </w:t>
        <w:br/>
        <w:t xml:space="preserve">These businesses are involved in the sale of new and used vehicles of the brands Renault and Dacia.  </w:t>
        <w:br/>
        <w:t xml:space="preserve">2. This acquisition constitutes a concentration operation within the meaning of Article L. 430-1 of  </w:t>
        <w:br/>
        <w:t xml:space="preserve">the Commercial Code. Given the turnover achieved by the concerned companies, the operation does not  </w:t>
        <w:br/>
        <w:t xml:space="preserve">have a community dimension. On the other hand, the retail control thresholds mentioned in point II of  </w:t>
        <w:br/>
        <w:t xml:space="preserve">Article L. 430-2 of the Commercial Code are exceeded. The present operation is therefore subject to the  </w:t>
        <w:br/>
        <w:t xml:space="preserve">provisions of Articles L. 430-3 and following of the Commercial Code relating to economic concentration.  </w:t>
        <w:br/>
        <w:t xml:space="preserve">3. In light of the elements of the file, the operation is not likely to harm competition in the  </w:t>
        <w:br/>
        <w:t>concerned markets.</w:t>
      </w:r>
    </w:p>
    <w:p>
      <w:r>
        <w:t xml:space="preserve">DECIDES  </w:t>
        <w:br/>
        <w:t xml:space="preserve">Sole Article: The operation notified under number 10-0246 is authorized.  </w:t>
        <w:br/>
        <w:t xml:space="preserve">The Vice-President,  </w:t>
        <w:br/>
        <w:t xml:space="preserve">Anne Perrot  </w:t>
        <w:br/>
        <w:t>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