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https://www.autoritedelaconcurrence.fr/fr/decision-de-controle-des-concentrations/relative-la-prise-de-controle-exclusif-par-la-societe-10</w:t>
      </w:r>
    </w:p>
    <w:p>
      <w:r>
        <w:t>Pages translated : 5</w:t>
      </w:r>
    </w:p>
    <w:p/>
    <w:p>
      <w:r>
        <w:rPr>
          <w:b/>
        </w:rPr>
        <w:t>[Pages 1–3]</w:t>
      </w:r>
    </w:p>
    <w:p>
      <w:r>
        <w:t xml:space="preserve">FRENCH REPUBLIC  </w:t>
        <w:br/>
        <w:t xml:space="preserve">Decision No. 13-DCC-110 of August 14, 2013  </w:t>
        <w:br/>
        <w:t xml:space="preserve">regarding the exclusive control by Tamweelview European Holdings  </w:t>
        <w:br/>
        <w:t>of real estate assets held by Les Docks Lyonnais</w:t>
      </w:r>
    </w:p>
    <w:p>
      <w:r>
        <w:t xml:space="preserve">The Competition Authority,  </w:t>
        <w:br/>
        <w:t xml:space="preserve">Having regard to the notification file submitted in full to the merger service on July 23, 2013,  </w:t>
        <w:br/>
        <w:t xml:space="preserve">regarding the exclusive control by Tamweelview European Holdings of real estate assets held by Les Docks Lyonnais SA, [confidential];  </w:t>
        <w:br/>
        <w:t xml:space="preserve">Having regard to Book IV of the Commercial Code relating to price freedom and competition, and in particular Articles L. 430-1 to L. 430-7;  </w:t>
        <w:br/>
        <w:t>Adopts the following decision:</w:t>
      </w:r>
    </w:p>
    <w:p>
      <w:r>
        <w:t xml:space="preserve">I. The concerned companies and the operation  </w:t>
        <w:br/>
        <w:t xml:space="preserve">1. Tamweelview European Holdings is a 100% subsidiary of the Abu Dhabi Investment Authority (“ADIA”), which is itself 100% owned by the government of Abu Dhabi. ADIA has a diversified investment portfolio, notably in the real estate sector through Tamweelview and another of its 100% subsidiaries, Imfra Immobilière France SASU. The latter holds real estate assets in France for commercial and residential use located [confidential] in Île-de-France. ADIA also invests in the French real estate sector through investment funds in which it holds minority stakes.  </w:t>
        <w:br/>
        <w:t xml:space="preserve">2. The targets consist of […] real estate assets for commercial and residential use located [confidential]. These assets, held directly and indirectly by Les Docks Lyonnais SA (“LDL”), are leased to commercial enterprises or individuals and generate rents as of the date of the operation.  </w:t>
        <w:br/>
        <w:t>1 The target assets are offices, ground-floor shops, industrial premises, and residential buildings.</w:t>
      </w:r>
    </w:p>
    <w:p>
      <w:r>
        <w:t xml:space="preserve">3. The notified operation, [confidential], consists of the direct acquisition of […] the concerned assets and the acquisition of […] companies, subsidiaries of LDL prior to the operation, which hold certain target assets ([confidential]). Upon completion of the operation, Tamweelview will hold exclusive control of the target real estate assets.  </w:t>
        <w:br/>
        <w:t xml:space="preserve">4. As it results in the exclusive control of the target real estate assets and companies by ADIA, the operation constitutes a concentration within the meaning of Article L. 430-1 of the Commercial Code.  </w:t>
        <w:br/>
        <w:t>5. The companies concerned together achieve a total worldwide turnover of more than 150 million euros (ADIA: more than […] euros for the fiscal year ending December 31, 2012; target assets: […] euros for the same fiscal year). In France, these two entities achieved a turnover exceeding 50 million euros (ADIA: more than […] euros for the fiscal year ending December 31, 2012; target assets: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DELIMITATION OF PRODUCT AND SERVICE MARKETS  </w:t>
        <w:br/>
        <w:t xml:space="preserve">6. The operation results in an overlap of activities in certain markets of the real estate sector.  </w:t>
        <w:br/>
        <w:t xml:space="preserve">7. National and European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8. Regarding segmentation according to the nature of the services or goods offered, the decision-making practice has considered a distinction between:  </w:t>
        <w:br/>
        <w:t xml:space="preserve">2 See in particular the decision of the Competition Authority No. 11-DCC-178 of December 13, 2011, regarding the joint control by Caisse des Dépôts et Consignations and CNP Assurances of Malthazar SA; the decision of the Competition Authority No. 10-DCC-112 of September 17, 2010, regarding the joint control by Prédica and Altaréa of Alta Marigny Carré de Soi; the decision of the Competition Authority No. 10-DCC-13 of January 29, 2010, regarding the exclusive control by Icade S.A. of Compagnie la Lucette S.A.; the letter from the Minister of Economy, Industry and Employment C2008-79 of August 22, 2008, to the advisors of CDC and Eurosic, regarding a concentration in the real estate sector BOCCRF No. 8 bis of October 23, 2008; the decision of the European Commission of March 9, 2004, No. COMP/M.3370, BNP Paribas / ARI.  </w:t>
        <w:br/>
        <w:t xml:space="preserve">3 See the letter from the Minister of Economy, Finance and Industry C2002-112 of November 8, 2002, to the advisors of Gecina regarding a concentration in the real estate assets sector, BOCCRF No. 2003-11.  </w:t>
        <w:br/>
        <w:t xml:space="preserve">4 See the letter from the Minister of Economy, Finance and Industry C2003-66 of April 17, 2003, to the advisors of CBRE Holding Inc. regarding a concentration in the real estate services sector, BOCCRF No. 2003-11.  </w:t>
        <w:br/>
        <w:t>5 Letter from the Minister of Economy, Finance and Industry C2005-126 of January 25, 2006, to the advisors of Perexia regarding a concentration in the real estate services sector, BOCCRF No. 2006-06; decision of the European Commission COMP/M.3370 cited above.</w:t>
      </w:r>
    </w:p>
    <w:p>
      <w:r>
        <w:t xml:space="preserve">(i) real estate development, which includes construction and sale of real estate properties;  </w:t>
        <w:br/>
        <w:t xml:space="preserve">(ii) management of real estate assets for own account;  </w:t>
        <w:br/>
        <w:t xml:space="preserve">(iii) management of real estate assets for third-party account;  </w:t>
        <w:br/>
        <w:t xml:space="preserve">(iv) administration of real estate properties, which covers the management activities of buildings on behalf of owners and can be segmented between rental management and co-ownership management;  </w:t>
        <w:br/>
        <w:t xml:space="preserve">(v) real estate appraisal;  </w:t>
        <w:br/>
        <w:t xml:space="preserve">(vi) real estate consulting;  </w:t>
        <w:br/>
        <w:t xml:space="preserve">(vii) intermediation in real estate transactions, an activity within which a distinction can be made between the sale and rental of buildings.  </w:t>
        <w:br/>
        <w:t xml:space="preserve">9. In this case, the parties are simultaneously present in the market for holding and managing real estate assets for own account for office use, commercial premises, and residential premises.  </w:t>
        <w:br/>
        <w:t>10. There is no need to challenge these segmentations in the context of the present operation.</w:t>
      </w:r>
    </w:p>
    <w:p>
      <w:r>
        <w:t xml:space="preserve">B. GEOGRAPHICAL DELIMITATION OF MARKETS  </w:t>
        <w:br/>
        <w:t xml:space="preserve">11. The decision-making practice considers that the markets for real estate services aimed at individuals are generally of a local dimension, without this question having been definitively resolved. It has also considered a national delimitation for the markets of real estate services aimed at businesses when investment operations are carried out by large investors.  </w:t>
        <w:br/>
        <w:t xml:space="preserve">12. The parties are simultaneously active in the management for own account of real estate assets for professional use in Île-de-France and in the Rhône-Alpes region.  </w:t>
        <w:br/>
        <w:t xml:space="preserve">13.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in prices. Therefore, the regional level is the most appropriate for competitive analysis.” Consequently, in this case, the analysis will be conducted at the scale of the Île-de-France region.  </w:t>
        <w:br/>
        <w:t xml:space="preserve">14. The operation also results in overlaps in the Rhône-Alpes region, [confidential]. Regarding these markets, the competition authorities have conducted their analyses.  </w:t>
        <w:br/>
        <w:t xml:space="preserve">6 See the letter from the Minister of Economy, Finance and Industry C2005-126 cited above.  </w:t>
        <w:br/>
        <w:t xml:space="preserve">7 See the decision of the Competition Authority No. 12-DCC-18 of February 13, 2012, regarding the exclusive control of the rental real estate company for industry and commerce by Icade; the decision of the Competition Authority No. 10-DCC-13 of January 29, 2010, regarding the exclusive control by Icade S.A. of Compagnie la Lucette S.A.  </w:t>
        <w:br/>
        <w:t xml:space="preserve">8 See in particular decision 09-DCC-16 of June 22, 2009, of the Competition Authority regarding the merger between Caisse d’Epargne and Banque Populaire groups.  </w:t>
        <w:br/>
        <w:t>9 Decision C2006-151 of the Minister of Economy SNI / EFIDIS of January 10, 2007.</w:t>
      </w:r>
    </w:p>
    <w:p>
      <w:r>
        <w:rPr>
          <w:b/>
        </w:rPr>
        <w:t>[Pages 4–5]</w:t>
      </w:r>
    </w:p>
    <w:p>
      <w:r>
        <w:t>competitive at the regional or sub-regional level. In the present case, the analysis will therefore be conducted at the scale of the Rhône-Alpes region and at the scale of the Rhône department.</w:t>
      </w:r>
    </w:p>
    <w:p>
      <w:r>
        <w:t>15. The question of the exact delineation of the relevant markets can, however, be left open in the context of this decision, as the conclusions of the competitive analysis remain unchanged regardless of the delineations adopted.</w:t>
      </w:r>
    </w:p>
    <w:p>
      <w:r>
        <w:t>III. Competitive Analysis</w:t>
      </w:r>
    </w:p>
    <w:p>
      <w:r>
        <w:t>16. The operation results in overlaps of activity in the market for the holding and management of real estate assets for own account for office use in Île-de-France and Rhône-Alpes, as well as in the market for the holding and management of real estate assets for own account of commercial premises and premises for residential use in Rhône-Alpes.</w:t>
      </w:r>
    </w:p>
    <w:p>
      <w:r>
        <w:t>17. In the Île-de-France region, the notifying party estimated the size of the market at approximately 55.2 million m². ADIA manages […] m² of office premises in this region, representing approximately [0-5]% of the surfaces. With […] m², the target represents less than [0-5]% of the surfaces. The combined market share of the parties will therefore remain very low following the operation. Furthermore, the notifying party will face competition from numerous operators in Île-de-France, including real estate investment companies such as Gecina, Silic, or Klepierre.</w:t>
      </w:r>
    </w:p>
    <w:p>
      <w:r>
        <w:t>18. In the Rhône-Alpes region, regarding the market for the management for own account of real estate assets for office use, the notifying party estimated the size of the market at 17.8 million m². The market share of the entity resulting from the operation would therefore be around [0-5]%.</w:t>
      </w:r>
    </w:p>
    <w:p>
      <w:r>
        <w:t>19. In the absence of data at the departmental level, the notifying party assessed its market share in the more restricted area of Lyon and its surroundings (the area known as "Grand Lyon"). It estimates the size of the market for the management for own account of real estate assets for office use in this area at approximately 5.47 million m². ADIA manages […] m² of office premises there, representing less than [0-5]% of the surfaces. With a surface area of […] m², the market share of the target is [0-5]%, resulting in approximately [0-5]% of combined market shares for the parties.</w:t>
      </w:r>
    </w:p>
    <w:p>
      <w:r>
        <w:t>20. Regarding the market for the management for own account of real estate assets for commercial use, the notifying party estimated the size of the market in Grand Lyon at approximately 1.6 million m². ADIA and the target manage an equivalent area (of approximately […] m²) there, representing a combined market share of just over [0-5]%.</w:t>
      </w:r>
    </w:p>
    <w:p>
      <w:r>
        <w:t>21. Finally, concerning the market for the management for own account of real estate assets for residential use, the target manages only […] m² of surface area in this region, compared to […] m² for ADIA.</w:t>
      </w:r>
    </w:p>
    <w:p>
      <w:r>
        <w:t>22. Therefore, the present operation is not likely to harm competition through horizontal effects on the relevant markets of holding and management for own account for office use, commercial premises, and residential premises.</w:t>
      </w:r>
    </w:p>
    <w:p>
      <w:r>
        <w:t>DECIDES</w:t>
      </w:r>
    </w:p>
    <w:p>
      <w:r>
        <w:t>Sole Article: The operation notified under number 13-113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