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https://www.autoritedelaconcurrence.fr/fr/decision-de-controle-des-concentrations/relative-la-prise-de-controle-exclusif-par-la-societe-11</w:t>
      </w:r>
    </w:p>
    <w:p>
      <w:r>
        <w:t>Pages translated : 7</w:t>
      </w:r>
    </w:p>
    <w:p/>
    <w:p>
      <w:r>
        <w:rPr>
          <w:b/>
        </w:rPr>
        <w:t>[Pages 1–3]</w:t>
      </w:r>
    </w:p>
    <w:p>
      <w:r>
        <w:t xml:space="preserve">FRENCH REPUBLIC  </w:t>
        <w:br/>
        <w:t xml:space="preserve">Decision No. 13-DCC-144 of November 28, 2013  </w:t>
        <w:br/>
        <w:t>regarding the exclusive control by Franprix Leader Price Holding (Casino Group) of the companies Ardis, Badis, Nidis, Saudis, Eldis, Puidis, Pedis, Cydis, Breadis, Clemendis, and Carbudis</w:t>
      </w:r>
    </w:p>
    <w:p>
      <w:r>
        <w:t xml:space="preserve">The Competition Authority,  </w:t>
        <w:br/>
        <w:t xml:space="preserve">Having regard to the notification file submitted in full to the merger service on September 13, 2013, regarding the exclusive control by Franprix Leader Price Holding (Casino Group) of the companies Ardis, Badis, Nidis, Saudis, Eldis, Puidis, Pedis, Cydis, Breadis, Clemendis, and Carbudis, formalized by a share transfer agreement concluded between the parties on August 1, 2013;  </w:t>
        <w:br/>
        <w:t xml:space="preserve">Having regard to Book IV of the Commercial Code relating to price freedom and competition, and in particular Articles L. 430-1 to L. 430-7;  </w:t>
        <w:br/>
        <w:t xml:space="preserve">Having regard to the commitments presented on November 8, 2013, and last modified on November 26, 2013, by the notifying party;  </w:t>
        <w:br/>
        <w:t xml:space="preserve">Having regard to the additional elements submitted by the parties during the investigation;  </w:t>
        <w:br/>
        <w:t>Adopts the following decision:</w:t>
      </w:r>
    </w:p>
    <w:p>
      <w:r>
        <w:t xml:space="preserve">I. The concerned companies and the operation  </w:t>
        <w:br/>
        <w:t>1. Franprix Leader Price Holding (hereinafter "FPLPH") is a subsidiary of the Casino Guichard Perrachon group, whose main purpose is to acquire stakes in companies operating stores under the Franprix and Leader Price brands. The Casino group, the third largest French player in food retail, manages a network of over 12,000 stores (hypermarkets, supermarkets, convenience stores, discount stores) under brands including Franprix, Géant Casino, Casino Supermarché, Petit Casino, Spar, Vival, Monoprix, and Leader Price. It is also present in the online distribution sector for non-food products under the Cdiscount brand. The Casino group is controlled by Euris, which is itself controlled by Mr. Jean-Charles Naouri.</w:t>
      </w:r>
    </w:p>
    <w:p>
      <w:r>
        <w:t xml:space="preserve">2. The simplified joint-stock companies Ardis, Badis, Nidis, Saudis, Eldis, Puidis, Pedis, Cydis, Breadis, Clemendis, and Carbudis (hereinafter "the target companies") are currently owned by Horidis SARL, represented by Messrs. [X] acting as co-managers and holding 100% of the capital and voting rights of the target companies. These companies operate nine predominantly food-oriented businesses under the G 20 brand, located in Languedoc-Roussillon.  </w:t>
        <w:br/>
        <w:t xml:space="preserve">3. According to the share transfer agreement concluded between Horidis and FPLPH on August 1, 2013, Horidis will transfer all shares and voting rights of the target companies to FPLPH no later than January 3, 2014. Following the transaction, the concerned retail outlets will be rebranded under the Franprix banner.  </w:t>
        <w:br/>
        <w:t xml:space="preserve">4. As it results in the exclusive control of the target companies by FPLPH, the notified operation constitutes a concentration within the meaning of Article L. 430-1 of the Commercial Code.  </w:t>
        <w:br/>
        <w:t>5. The concerned companies operate several retail stores and together generate a total worldwide turnover of over 75 million euros (Casino Group: 41.9 billion euros for the fiscal year ending December 31, 2012; the target companies: […] euros for the same fiscal year). They generate in France, in the retail sector, a turnover exceeding 15 million euros (Casino Group: 18.4 billion euros for the fiscal year ending December 31, 2012; the target companies: […] euros for the same fiscal year). Given these turnover figures, the operation does not have a community dimension.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According to the consistent practice of national and community competition authorities, two categories of market can be defined in the food retail sector.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1 See in particular the decisions of the Commission M.496 Intermarché/Spar of June 30, 1997, M.991 Promodès/Casino of October 30, 1997, M.1684 Carrefour/Promodès of January 25, 2000, and M.2115 Carrefour/GB of September 28, 2000, the ministerial order of July 5, 2000 in the Carrefour/Promodès operation, and the opinions of the Competition Council 97-A-14 of July 1, 1997, in the Carrefour/Cora case, 98-A-06 of May 5, 1998, in the Casino Franprix/Leader Price case, and 00-A-06 of May 3, 2000, in the Carrefour/Promodès case.</w:t>
      </w:r>
    </w:p>
    <w:p>
      <w:r>
        <w:t xml:space="preserve">A. DOWNSTREAM DISTRIBUTION MARKETS  </w:t>
        <w:br/>
        <w:t xml:space="preserve">1. SERVICE MARKETS  </w:t>
        <w:br/>
        <w:t xml:space="preserve">7. Regarding the retail sale of everyday consumer goods, competition authorities, both at the community and national levels, have distinguished six categories of commerce using several criteria, including store size, sales techniques, accessibility, the nature of the service provided, and the range of products offered: (i) hypermarkets, (ii) supermarkets, (iii) specialized trade, (iv) small retail trade, (v) discount stores, (vi) mail order sales.  </w:t>
        <w:br/>
        <w:t xml:space="preserve">8. Hypermarkets are usually defined as food-dominant stores with a sales area equal to or greater than 2,500 m², supermarkets as food-dominant stores with a sales area less than 2,500 m² and greater than 400 m², and convenience stores as food-dominant stores with a sales area less than 400 m² and greater than 120 m². In this regard, the Authority has noted in recent decisions "an asymmetric competitive relationship between small convenience stores and other forms of commerce," indicating that "in a number of geographical configurations, a hypermarket, a supermarket, or a discount store may be routinely used by some consumers as a convenience store, substituting for a convenience store, while specifying that the reverse is not true."  </w:t>
        <w:br/>
        <w:t>9. In this case, the 9 retail outlets operated under the G20 brand are food-dominant stores with a sales area ranging from 290 to 950 m²: 4 outlets have a sales area between 550 and 950 m², while the other 5 have a sales area between 290 and 400 m².</w:t>
      </w:r>
    </w:p>
    <w:p>
      <w:r>
        <w:t xml:space="preserve">2. GEOGRAPHICAL DELIMITATION  </w:t>
        <w:br/>
        <w:t xml:space="preserve">10. It follows from decision-making practice that the conditions of competition are assessed in two different areas depending on the size of the stores:  </w:t>
        <w:br/>
        <w:t xml:space="preserve">- a market where the demand of consumers meets the supply of supermarkets and equivalent forms of commerce located within a 15-minute drive. These latter forms of commerce may include, in addition to the  </w:t>
        <w:br/>
        <w:t xml:space="preserve">2 See in particular the decisions C2007-172 / Letter from the Minister of Economy, Finance and Employment of February 13, 2008, to the President of the Carrefour Group regarding a concentration in the food retail sector, published in BOCCRF No. 3 bis of March 27, 2008, and C2008-32 / letter from the Minister of Economy, Industry and Employment of July 9, 2008, to the President of Amidis &amp; Compagnie, regarding a concentration in the food distribution sector, published in BOCCRF No. 7 bis of September 25, 2008, as well as the decisions of the Competition Authority No. 09-DCC-24 of July 23, 2009, regarding the exclusive control of Floritine by CSF, a subsidiary of the Carrefour Group, No. 12-DCC-15 of February 8, 2012, regarding the control by Retail Leader Price Investissement (Casino Group) over DBMH, and No. 12-DCC-48 of April 6, 2012, regarding the exclusive control of Sofides by ITM Entreprises.  </w:t>
        <w:br/>
        <w:t xml:space="preserve">3 See the decision of the Competition Authority No. 12-DCC-112 of August 3, 2012, regarding the exclusive control of SNC Schlecker by Système U Centrale Régionale Sud.  </w:t>
        <w:br/>
        <w:t xml:space="preserve">4 See the decisions of the Competition Authority No. 10-DCC-25 of March 19, 2010, regarding the exclusive control of assets of the Louis Delhaize Group by H Distribution (Hoio Group) and No. 13-DCC-90 of July 11, 2013, regarding the exclusive control of Monoprix by Casino Guichard-Perrachon, as well as the aforementioned decision No. 12-DCC-112.  </w:t>
        <w:br/>
        <w:t>5 See in particular the decisions of the Competition Authority No. 11-DCC-04 of January 28, 2011, regarding the exclusive control of Mafical by ITM Alimentaire Région parisienne, No. 11-DCC-05 of January 17, 2011, regarding the exclusive control of Distri Sud-Ouest by Retail Leader Price Investissement, and No. 11-DCC-45 of March 18, 2011, regarding the exclusive control of the business of the Cora Desmarais hypermarket by Sodex Desmarais.</w:t>
      </w:r>
    </w:p>
    <w:p>
      <w:r>
        <w:rPr>
          <w:b/>
        </w:rPr>
        <w:t>[Pages 4–6]</w:t>
      </w:r>
    </w:p>
    <w:p>
      <w:r>
        <w:t xml:space="preserve">supermarkets, hypermarkets located near consumers, and discount stores;  </w:t>
        <w:br/>
        <w:t xml:space="preserve">- a second market where the demand of consumers in an area meets the supply of hypermarkets accessible to them within a 30-minute drive and which, from their perspective, are substitutable with each other.  </w:t>
        <w:br/>
        <w:t xml:space="preserve">11. However, the attractiveness of stores of the same format may vary depending on the density and quality of the commercial facilities in an area. The socio-economic characteristics of the concerned area (population density, economic activity, geography, condition of the road network) may also lead to refining, in the specific case, the usual boundaries presented above.  </w:t>
        <w:br/>
        <w:t xml:space="preserve">12. In the specific case, 4 of the target stores fall into the category of supermarkets. A catchment area of 15 minutes has therefore been retained around the concerned stores. The other 5 target stores are convenience stores, with a surface area between 290 m² and 400 m².  </w:t>
        <w:br/>
        <w:t xml:space="preserve">13. In recent decisions, the Authority had the opportunity to specify that when the target stores are small, the relevant catchment area was less than the area defined by a 15-minute drive. Moreover, in its decision n° 12-DCC-112, without definitively resolving this issue, the Authority examined the effects of the operation in a catchment area of 10 minutes on foot (or 4 minutes by car) around stores with a surface area of less than 400 m², corresponding to a maximum radius of 650 meters, with the mode of travel on foot deemed more relevant than the mode of travel by car for calculating the catchment area of the concerned stores located in the city center.  </w:t>
        <w:br/>
        <w:t xml:space="preserve">14. The responses obtained from the market test in the context of this file confirm the relevance of this approach, with respondents operating such stores noting that, generally speaking, regarding small local businesses, customers walk to the point of sale. The catchment area for this type of store would therefore correspond to a journey of 5 to 10 minutes on foot.  </w:t>
        <w:br/>
        <w:t xml:space="preserve">15. In this case, regarding the target stores with a surface area of less than 400 m², the effects of the operation were examined over a catchment area of 10 minutes on foot. However, just as with larger stores, any relevant element leading, if necessary, to refine, in the specific case, this delimitation will be taken into account.  </w:t>
        <w:br/>
        <w:t xml:space="preserve">B. UPSTREAM SUPPLY MARKETS  </w:t>
        <w:br/>
        <w:t xml:space="preserve">16. Regarding the supply markets, the European Commission has recognized the existence of national markets by major product groups, a delimitation followed by national authorities.  </w:t>
        <w:br/>
        <w:t xml:space="preserve">17. There is no need to challenge this delimitation in the context of the present operation.  </w:t>
        <w:br/>
        <w:t xml:space="preserve">6 See the decisions of the Competition Authority n° 10-DCC-25, n° 12-DCC-112, and n° 13-DCC-90 (regarding stores located in the center of the ten largest cities in France), mentioned above.  </w:t>
        <w:br/>
        <w:t xml:space="preserve">7 See in particular the decisions C2005-98, C2007-172, and C2008-32 mentioned above as well as decision C2006-15 / Letter from the Minister of Economy, Finance, and Industry dated April 14, 2006, to the President of Amidis &amp; Cis SAS, regarding a concentration in the food retail sector, as well as decisions n° 11-DCC-45, n° 11-DCC-05, and n° 11-DCC-04 mentioned above.  </w:t>
        <w:br/>
        <w:t>4</w:t>
      </w:r>
    </w:p>
    <w:p>
      <w:r>
        <w:t xml:space="preserve">III. Competitive Analysis  </w:t>
        <w:br/>
        <w:t xml:space="preserve">A. DOWNSTREAM RETAIL MARKETS FOR FOOD PRODUCTS  </w:t>
        <w:br/>
        <w:t xml:space="preserve">18. Nine catchment areas are concerned by the operation. However, the operation does not result in any overlap of activities in the areas of two target stores, located in Argelès-sur-Mer (66) and Banyuls-sur-Mer (66). The effects of the operation will therefore be examined in the remaining seven areas, distinguishing four areas in which the operation concerns a point of sale with a surface area greater than 400 m² and three areas in which it concerns the acquisition of points of sale with a surface area of less than 400 m².  </w:t>
        <w:br/>
        <w:t xml:space="preserve">1. REGARDING POINTS OF SALE WITH SURFACE AREAS GREATER THAN 400 M²  </w:t>
        <w:br/>
        <w:t xml:space="preserve">19. The operation concerns supermarkets in four areas, located in Sauvian (34), Nissan-lez-Ensérune (34), Perpignan (avenue du président Doumer) (66), and Saint-Cyprien-Plage (66).  </w:t>
        <w:br/>
        <w:t xml:space="preserve">20. Following the concentration, the new entity will represent less than 35% of the food retail surfaces and will face competition from many other major distribution groups in the areas located in Sauvian, Nissan-les-Ensérune, and Perpignan. It is therefore not likely to harm competition there.  </w:t>
        <w:br/>
        <w:t xml:space="preserve">21. Furthermore, in the market comprising supermarkets and equivalent forms of trade located within a 15-minute drive from the supermarket located in Saint-Cyprien-Plage (66), the Casino group will gather after the operation the target store under the G20 banner (550 m² of sales area), a Casino supermarket (with a surface area of 1,270 m²), a Casino hypermarket (3,415 m²), and a G20 convenience store (with a surface area of 400 m²). Following the operation, the notifying party will represent 37% of the food retail surfaces in this area, with the acquisition of the target store representing a limited market share increment of [0-5]%. Casino will face competition in this area from Intermarché ([30-40]% of sales surfaces), Lidl ([10-20]%), Auchan ([5-10]%), Dia ([5-10]%), Aldi ([0-5]%), and Système U ([0-5]%).  </w:t>
        <w:br/>
        <w:t xml:space="preserve">22. The operation is therefore not likely to harm competition in the Saint-Cyprien-Plage (66) area.  </w:t>
        <w:br/>
        <w:t xml:space="preserve">2. REGARDING POINTS OF SALE WITH SURFACE AREAS LESS THAN 400 M²  </w:t>
        <w:br/>
        <w:t xml:space="preserve">23. The operation concerns three stores with a sales area of less than 400 m² located in Puissergier (34), Elne (66), and Perpignan (avenue Général Leclerc) (66). However, the market share of the notifying party will remain below 35% in these areas, except for that of the store located on avenue du Général Leclerc in Perpignan.  </w:t>
        <w:br/>
        <w:t xml:space="preserve">24. In the catchment area corresponding to a 10-minute walk around the convenience store located on avenue du Général Leclerc in Perpignan, the Casino group operates, on the eve of the operation, 2 Monoprix stores with a sales area of 1,065 m², representing a market share of [60-70]%. Following the operation, the market share of the parties in food sales area will rise to [80-90]%, with the target store representing [20-30]% of the surfaces in the area. The parties will face competition from only one competing store: a 180 m² convenience store owned by the Carrefour group ([10-20]%).  </w:t>
        <w:br/>
        <w:t>5</w:t>
      </w:r>
    </w:p>
    <w:p>
      <w:r>
        <w:t xml:space="preserve">The additional elements gathered during the investigation show that it would not be relevant to extend the catchment area of the target store beyond a walking time of 10 minutes, considering, in particular, consumer behavior and the difficulties of traffic and parking that characterize it. Moreover, no other competing store is located close to the boundary of the catchment area drawn around the target store.  </w:t>
        <w:br/>
        <w:t xml:space="preserve">25. In this area, the operation results in a reduction from three to two operators. It therefore significantly increases market concentration, with an addition of market shares in favor of the Casino group of approximately [20-30]% and a change in the HHI of 2,930, which is well above the threshold generally used to detect the likelihood of horizontal effects.  </w:t>
        <w:br/>
        <w:t xml:space="preserve">26. The notifying party further argues that account should be taken of the competitive pressure exerted in the catchment area by hypermarkets located less than 30 minutes from the target store. Indeed, there are two competing hypermarkets, under the Leclerc and Auchan banners, located within a 10-minute drive from the target store. However, these stores are located at least 28 minutes away on foot and cannot therefore be considered as alternatives to the target convenience store.  </w:t>
        <w:br/>
        <w:t xml:space="preserve">27. Finally, the notifying party has provided data supporting the costs of establishing stores of less than 400 m² in the city center of Perpignan, which are not of a magnitude that would hinder the opening of new stores, given the expected profitability for this type of format. However, no element in the file establishes that such entries would be "possible within a timeframe and on a scale sufficient to exert a real constraint" on the new entity in the concerned area.  </w:t>
        <w:br/>
        <w:t xml:space="preserve">28. The operation, which results in the creation of a highly unbalanced duopoly in favor of the Casino group in the area, with the number of brands operating a convenience store or supermarket decreasing from three to two, therefore harms competition in the catchment area of the store located on avenue du Général Leclerc in Perpignan.  </w:t>
        <w:br/>
        <w:t xml:space="preserve">29. To remedy this, the notifying party proposed a commitment not to acquire the concerned convenience store. This commitment will maintain the pre-existing competitive conditions prior to the operation, by keeping the presence of three competing brands in the 10-minute walking area around the target store located in Perpignan, avenue du Général Leclerc. To ensure its structural impact, the Casino group has committed not to take control of this point of sale for 10 years from the date of this decision.  </w:t>
        <w:br/>
        <w:t xml:space="preserve">B. UPSTREAM SUPPLY MARKETS  </w:t>
        <w:br/>
        <w:t xml:space="preserve">30. Regarding the upstream supply markets, the operation concerns 9 stores representing, in 2012, approximately […] euros in purchasing turnover, or less than [0-5]% of the turnover achieved by the Casino group in France. The acquisition of the target stores is therefore not likely to significantly strengthen the purchasing power of the Casino group, across all products as well as by major product groups.  </w:t>
        <w:br/>
        <w:t xml:space="preserve">8 See the guidelines of the Competition Authority regarding merger control, §385. In this case, after the concentration, the HHI will rise to 7,998.  </w:t>
        <w:br/>
        <w:t xml:space="preserve">9 Id., §434.  </w:t>
        <w:br/>
        <w:t>6</w:t>
      </w:r>
    </w:p>
    <w:p>
      <w:r>
        <w:rPr>
          <w:b/>
        </w:rPr>
        <w:t>[Pages 7–7]</w:t>
      </w:r>
    </w:p>
    <w:p>
      <w:r>
        <w:t xml:space="preserve">31. The operation is therefore not likely to strengthen the purchasing power of the Casino group in the upstream supply markets, regardless of the market segmentation retained.  </w:t>
        <w:br/>
        <w:t xml:space="preserve">DECIDES  </w:t>
        <w:br/>
        <w:t xml:space="preserve">Sole Article: The operation notified under number 13-159 is authorized subject to compliance with the commitments described above and attached to this decision.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