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https://www.autoritedelaconcurrence.fr/fr/decision-de-controle-des-concentrations/relative-la-prise-de-controle-exclusif-par-la-societe-13</w:t>
      </w:r>
    </w:p>
    <w:p>
      <w:r>
        <w:t>Pages translated : 10</w:t>
      </w:r>
    </w:p>
    <w:p/>
    <w:p>
      <w:r>
        <w:rPr>
          <w:b/>
        </w:rPr>
        <w:t>[Pages 1–3]</w:t>
      </w:r>
    </w:p>
    <w:p>
      <w:r>
        <w:t xml:space="preserve">FRENCH REPUBLIC  </w:t>
        <w:br/>
        <w:t xml:space="preserve">Decision No. 13-DCC-57 of May 10, 2013  </w:t>
        <w:br/>
        <w:t xml:space="preserve">regarding the exclusive control  </w:t>
        <w:br/>
        <w:t xml:space="preserve">by Franprix Leader Price Holding (Casino group)  </w:t>
        <w:br/>
        <w:t>of NFL Distribution SAS</w:t>
      </w:r>
    </w:p>
    <w:p>
      <w:r>
        <w:t xml:space="preserve">The Competition Authority,  </w:t>
        <w:br/>
        <w:t xml:space="preserve">Having regard to the notification file submitted in full to the merger service on March 12, 2013,  </w:t>
        <w:br/>
        <w:t xml:space="preserve">regarding the exclusive control by Franprix Leader Price Holding (Casino group) of NFL Distribution SAS, formalized by a memorandum of understanding concluded between the parties on February 1, 2013;  </w:t>
        <w:br/>
        <w:t xml:space="preserve">Having regard to Book IV of the Commercial Code relating to price and competition freedom, and in particular its Articles L. 430-1 to L. 430-7;  </w:t>
        <w:br/>
        <w:t xml:space="preserve">Having regard to the commitments presented on April 15, 2013, and last modified on May 2, 2013, by the notifying party;  </w:t>
        <w:br/>
        <w:t xml:space="preserve">Having regard to the additional elements transmitted by the parties during the investigation;  </w:t>
        <w:br/>
        <w:t>Adopts the following decision:</w:t>
      </w:r>
    </w:p>
    <w:p>
      <w:r>
        <w:t xml:space="preserve">I. The concerned companies and the operation  </w:t>
        <w:br/>
        <w:t>1. Franprix Leader Price Holding (hereinafter "FPLPH") is a subsidiary of the Casino Guichard Perrachon group whose main purpose is to acquire stakes in companies operating stores under the Franprix and Leader Price brands. The Casino group, the third largest player in French food retail, manages a network of over 10,000 stores (hypermarkets, supermarkets, convenience stores, discount stores) under the Franprix and Leader Price brands. Furthermore, the Casino group, which also holds 50% of the Monoprix group, has notified the Competition Authority of its project to acquire exclusive control of this group. It is also present in the online distribution sector of non-food products under the Cdiscount brand. The Casino group is controlled directly and indirectly by the Euris group, which is itself controlled by Mr. Jean-Charles Naouri.</w:t>
      </w:r>
    </w:p>
    <w:p>
      <w:r>
        <w:t xml:space="preserve">2. NFL Distribution is a simplified joint-stock company whose entire capital and voting rights are held by Norma SARL, a subsidiary of the Norma group, which operates 1,400 stores in Germany, France, Austria, and the Czech Republic. Norma SARL operates 114 food-dominant stores in France under the Norma brand.  </w:t>
        <w:br/>
        <w:t xml:space="preserve">3. Prior to the transaction, Norma SARL must contribute to NFL Distribution the entire capital and voting rights of 38 stores located in the southeast of France. According to the memorandum of understanding concluded between FPLPH and NFL Distribution SAS on February 1, 2013, Norma SARL will transfer all shares and voting rights of NFL Distribution to FPLPH no later than May 31, 2013. The points of sale concerned, previously operated under the Norma brand, will be operated under the Leader Price, Franprix, and Casino Proximité brands.  </w:t>
        <w:br/>
        <w:t xml:space="preserve">4. As it results in the exclusive control of NFL Distribution SAS by FPLPH, the notified operation constitutes a concentration within the meaning of Article L. 430-1 of the Commercial Code.  </w:t>
        <w:br/>
        <w:t>5. The concerned companies operate several retail stores and together achieve a total global turnover of over 75 million euros (Casino group: 34.3 billion euros for the fiscal year ending December 31, 2011; the target: 93.2 million euros for the same fiscal year). They achieve in France, in the retail sector, a turnover exceeding 15 million euros (Casino group: 18.7 billion euros for the fiscal year ending December 31, 2011; the target: 93.2 million euros). Given these turnover figures,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6. According to the consistent practice of national and community competition authorities1, two categories of markets can be delineated in the food retail sector. These are, on the one hand, "downstream" markets, of local dimension, which bring together retail companies and consumers for the sale of consumer goods, and, on the other hand, "upstream" markets for supplying retail companies with everyday consumer goods, of national dimension.  </w:t>
        <w:br/>
        <w:t>1 See in particular the decisions of the Commission M.496 Intermarché/Spar of June 30, 1997, M.991 Promodès/Casino of October 30, 1997, M.1684 Carrefour/Promodès of January 25, 2000, and M.2115 Carrefour/GB of September 28, 2000, the ministerial order of July 5, 2000 in the Carrefour/Promodès operation, and the opinions of the Competition Council 97-A-14 of July 1, 1997, in the Carrefour/Cora case, 98-A-06 of May 5, 1998, in the Casino Franprix/Leader Price case, and 00-A-06 of May 3, 2000, in the Carrefour/Promodès case.</w:t>
      </w:r>
    </w:p>
    <w:p>
      <w:r>
        <w:t xml:space="preserve">A. DOWNSTREAM DISTRIBUTION MARKETS  </w:t>
        <w:br/>
        <w:t xml:space="preserve">1. SERVICE MARKETS  </w:t>
        <w:br/>
        <w:t xml:space="preserve">7. Regarding the retail sale of everyday consumer goods, both community and national competition authorities2 have distinguished six categories of commerce using several criteria, including store size, sales techniques, accessibility, the nature of the service provided, and the range of products offered: (i) hypermarkets, (ii) supermarkets, (iii) specialized trade, (iv) small retail trade, (v) maxi discounters, (vi) mail order sales.  </w:t>
        <w:br/>
        <w:t xml:space="preserve">8. Hypermarkets are usually defined as food-dominant stores with a sales area equal to or greater than 2,500 m², and supermarkets as food-dominant stores with a sales area less than 2,500 m² and greater than 400 m².  </w:t>
        <w:br/>
        <w:t>9. In this case, the 38 points of sale operated under the Norma brand as well as the four planned stores are food-dominant stores with an area between 400 and 2,500 m².</w:t>
      </w:r>
    </w:p>
    <w:p>
      <w:r>
        <w:t xml:space="preserve">2. GEOGRAPHICAL DELIMITATION  </w:t>
        <w:br/>
        <w:t xml:space="preserve">10. It follows from decision-making practice3 that the conditions of competition are assessed in two different areas depending on the size of the stores:  </w:t>
        <w:br/>
        <w:t xml:space="preserve">- a market where consumer demand meets the supply of supermarkets and equivalent forms of commerce located within a 15-minute drive. These latter forms of commerce may include, in addition to supermarkets, hypermarkets located near consumers and discount stores;  </w:t>
        <w:br/>
        <w:t xml:space="preserve">- a second market where consumer demand from an area meets the supply of hypermarkets accessible within a 30-minute drive and which are, from their perspective, substitutable for each other.  </w:t>
        <w:br/>
        <w:t xml:space="preserve">11. However, the attractiveness of stores of the same format may vary depending on the density and quality of the commercial equipment in an area. The socio-economic characteristics of the area concerned (population density, economic activity, geography, state of the road network) may also lead to refining, in the specific case, the usual delimitations presented above.  </w:t>
        <w:br/>
        <w:t xml:space="preserve">12. In this case, as the stores operated by the parties fall into the category of supermarkets, a 15-minute catchment area has been retained around the concerned stores.  </w:t>
        <w:br/>
        <w:t xml:space="preserve">2 See in particular the decisions of the Minister of Economy C.2007-172, Carrefour Plane Plamidis, of February 13, 2008, and C.2008-32, Amidis SAGC, of July 9, 2008, and the decisions of the Competition Authority, decisions 09-DCC-24 of July 23, 2009 Floritine/CSF, 12-DCC-15 of February 8, 2012 RLPI /DBMH, and 12-DCC-48 of April 6, 2012 Sofides/ITM.  </w:t>
        <w:br/>
        <w:t>3 See in particular the decisions of the Competition Authority 11-DCC-04 of January 28, 2011, regarding the exclusive control of Mafical by ITM Alimentaire Région parisienne, 11-DCC-05 of January 17, 2011, regarding the exclusive control of Distri Sud-Ouest by Retail Leader Price Investissement, and 11-DCC-45 of March 18, 2011, regarding the exclusive control of the business of the Cora Desmarais hypermarket by Sodex Desmarais.</w:t>
      </w:r>
    </w:p>
    <w:p>
      <w:r>
        <w:rPr>
          <w:b/>
        </w:rPr>
        <w:t>[Pages 4–6]</w:t>
      </w:r>
    </w:p>
    <w:p>
      <w:r>
        <w:t xml:space="preserve">B. UPSTREAM SUPPLY MARKETS  </w:t>
        <w:br/>
        <w:t xml:space="preserve">13. Regarding the supply markets, the European Commission has identified the existence of national markets by major product groups, a delineation followed by national authorities4.  </w:t>
        <w:br/>
        <w:t>14. There is no reason to challenge this delineation on the occasion of the present operation.</w:t>
      </w:r>
    </w:p>
    <w:p>
      <w:r>
        <w:t xml:space="preserve">III. Competitive Analysis  </w:t>
        <w:br/>
        <w:t xml:space="preserve">A. DOWNSTREAM RETAIL DISTRIBUTION MARKETS WITH A FOOD DOMINANCE  </w:t>
        <w:br/>
        <w:t>15. Forty-two catchment areas are affected by the operation, corresponding to the 38 target stores and four planned store openings. In 31 areas, the new entity will represent less than 35% of the sales area. The notifying party has provided a detailed analysis for the eleven areas in which the new entity will have more than 35% of the sales area at the end of the operation, namely two areas in Marseille (13), as well as areas located in Montpellier and Saint-Gély-du-Fesc in the Hérault department (34), in Montmorot (39), Charlieu, Le Chambon-Feugerolle, and Saint-Etienne in the Loire department (42), in Cran-Gevrier in Haute-Savoie (74), in Saint-Raphaël and Sainte-Maxime in the Var department (83).</w:t>
      </w:r>
    </w:p>
    <w:p>
      <w:r>
        <w:t xml:space="preserve">| Casino Ville (including Norma Total Monoprix5) | Marseille – Chemin de la Valbarelle | [40-50] % | [0-5] % | [40-50] % |  </w:t>
        <w:br/>
        <w:t xml:space="preserve">| --- | --- | --- | --- | --- |  </w:t>
        <w:br/>
        <w:t xml:space="preserve">| Marseille – Avenue Frédéric Mistral | [40-50] % | [0-5] % | [40-50] % |  </w:t>
        <w:br/>
        <w:t xml:space="preserve">| Montpellier | [30-40] % | [0-5] % | [30-40] % |  </w:t>
        <w:br/>
        <w:t xml:space="preserve">| Saint-Gely-du-Fesc | [40-50] % | [0-5] % | [40-50] % |  </w:t>
        <w:br/>
        <w:t xml:space="preserve">| Montmorot | [30-40] % | [0-5] % | [30-40] % |  </w:t>
        <w:br/>
        <w:t xml:space="preserve">| Charlieu | [20-30] % | [10-20] % | [40-50] % |  </w:t>
        <w:br/>
        <w:t xml:space="preserve">| Le Chambon Feugerolle | [30-40] % | [0-5] % | [30-40] % |  </w:t>
        <w:br/>
        <w:t>| Saint-Etienne | [30-40] % | [0-5] % | [30-40] % |</w:t>
      </w:r>
    </w:p>
    <w:p>
      <w:r>
        <w:t xml:space="preserve">4 See in particular the decisions of the minister in the sector, C.2005-98 Carrefour/Penny Market of November 10, 2005, C.2006-15 Carrefour/Groupe Hamon of April 14, 2006, C.2007-172 and C.2008-32 cited above as well as the decisions of the Competition Authority 11-DCC-45, 11-DCC-05 and 11-DCC-04 cited above.  </w:t>
        <w:br/>
        <w:t>5 For the purposes of the analysis, Monoprix stores are included in the Casino group.</w:t>
      </w:r>
    </w:p>
    <w:p>
      <w:r>
        <w:t xml:space="preserve">| Casino Ville (including Norma Total Monoprix5) | Cran Gevrier | [30-40] % | [0-5] % | [30-40] % |  </w:t>
        <w:br/>
        <w:t xml:space="preserve">| --- | --- | --- | --- | --- |  </w:t>
        <w:br/>
        <w:t xml:space="preserve">| Saint-Raphaël | [40-50] % | [0-5] % | [40-50] % |  </w:t>
        <w:br/>
        <w:t>| Sainte-Maxime | [40-50] % | [0-5] % | [40-50] % |</w:t>
      </w:r>
    </w:p>
    <w:p>
      <w:r>
        <w:t xml:space="preserve">16. In the areas of Montmorot, Le Chambon Feugerolle, Saint-Etienne, and Cran Gevrier, the elements in the file show that the entity resulting from the concentration will face a significant number of competing food distribution groups (between 5 and 9 depending on the areas). In each of these areas, these competitors operate the vast majority of food retail outlets, providing consumers with a large number of alternative choices. As a result, the operation is not likely to harm competition in these areas.  </w:t>
        <w:br/>
        <w:t>17. The analysis below therefore focuses on the remaining areas, namely three areas located in Marseille and Montpellier (1) and the areas of Saint-Gely-du-Fesc, Charlieu, Saint-Raphaël, and Sainte-Maxime (2).</w:t>
      </w:r>
    </w:p>
    <w:p>
      <w:r>
        <w:t xml:space="preserve">1. ANALYSIS OF THE EFFECTS OF THE OPERATION IN LARGE PROVINCIAL CITIES  </w:t>
        <w:br/>
        <w:t xml:space="preserve">18. Regarding large provincial cities6, the competitive analysis is conducted on the catchment areas within a 15-minute drive as defined above but also takes into account the fact that consumers are likely to travel shorter distances for their grocery shopping. The presence of an alternative offer closer to the target retail outlets is therefore verified.  </w:t>
        <w:br/>
        <w:t xml:space="preserve">a) Marseille  </w:t>
        <w:br/>
        <w:t xml:space="preserve">Regarding the catchment area around the store located at 34, chemin de la Valbarelle  </w:t>
        <w:br/>
        <w:t xml:space="preserve">19. In the 15-minute catchment area defined around the supermarket located at 34, chemin de Valbarelle in Marseille (with an area of 762 m²), the Casino group owns, on the eve of the operation, 32 stores with a total sales area of 49,060 m², representing a market share of [40-50]% (taking into account Monoprix stores). At the end of the operation, the market share of the parties in food retail space will rise to [40-50]%, with the target store's contribution limited to [0-5]%.  </w:t>
        <w:br/>
        <w:t xml:space="preserve">20. 45 competing stores are present in this area, and the parties will notably face competition from the Auchan group ([10-20]%), Carrefour ([5-10]%), Dia ([5-10]%), Intermarché ([5-10]%), Système U ([5-10]%), Lidl ([0-5]%), and Leclerc ([0-5%]), totaling seven competing groups. Four of these groups have significant retail outlets located less than 5 minutes from the target store. This is particularly the case for ITM, which has a retail outlet of 2,830 m² located 3 minutes from the target store and Auchan, which operates a hypermarket of 13,450 m², including 6,725 m² of food retail space (nine times the size of the target supermarket), located less than 5 minutes from the target store.  </w:t>
        <w:br/>
        <w:t>21. It follows from these elements that the operation is not likely to harm competition in the catchment area of the retail outlet located at 34, chemin de la Valbarelle in Marseille.</w:t>
      </w:r>
    </w:p>
    <w:p>
      <w:r>
        <w:t xml:space="preserve">Regarding the catchment area around the store located at 2, avenue Frédéric Mistral  </w:t>
        <w:br/>
        <w:t xml:space="preserve">22. In the 15-minute catchment area defined around the supermarket located at 2, avenue Frédéric Mistral in Marseille (with an area of 729 m²), the Casino group owns, on the eve of the operation, 22 stores with a sales area of 40,627 m², representing a market share of [40-50]% (taking into account Monoprix stores). At the end of the operation, the market share of the parties in food retail space will rise to [40-50]%, with the contribution of the target store limited to [0-5]%.  </w:t>
        <w:br/>
        <w:t xml:space="preserve">23. 47 competing stores are present in this area, and the parties will notably face competition from the Auchan group ([10-20]%), Carrefour ([10-20]%), Dia ([10-20]%), Intermarché ([5-10]%), Aldi ([5-10]%), Lidl ([5-10]%), and Système U ([0-5]%), totaling seven groups. In particular, Carrefour operates a hypermarket of 12,171 m², including 4,800 m² of food retail space (more than 6 times the size of the target store), located 8 minutes by car from the target store.  </w:t>
        <w:br/>
        <w:t>24. It follows from these elements that the operation is not likely to harm competition in the catchment area of the retail outlet located at 2, avenue Frédéric Mistral in Marseille.</w:t>
      </w:r>
    </w:p>
    <w:p>
      <w:r>
        <w:t xml:space="preserve">b) Montpellier  </w:t>
        <w:br/>
        <w:t xml:space="preserve">25. In the 15-minute catchment area defined around the supermarket located in Montpellier, the Casino group owns 16 stores with a sales area of 23,123 m², representing a market share of [30-40]% (taking into account Monoprix stores). At the end of the operation, the market share of the parties will be limited to [30-40]%, with the target store representing only [0-5]% of the food retail space in the area.  </w:t>
        <w:br/>
        <w:t xml:space="preserve">26. 31 competing stores are present in this area, and the parties will notably face competition from the Carrefour group ([20-30]%), Intermarché ([10-20]%), Auchan ([0-5]%), Dia ([0-5]%), Lidl ([5-10]%), Aldi ([0-5]%), and Système U ([0-5]%).  </w:t>
        <w:br/>
        <w:t>27. It follows from these elements that the operation is not likely to harm competition in the area located in Montpellier.</w:t>
      </w:r>
    </w:p>
    <w:p>
      <w:r>
        <w:t xml:space="preserve">2. ANALYSIS OF THE EFFECTS OF THE OPERATION IN SMALL PROVINCIAL CITIES  </w:t>
        <w:br/>
        <w:t xml:space="preserve">a) Saint-Gely-du-Fesc  </w:t>
        <w:br/>
        <w:t>28. In the market comprising supermarkets and equivalent forms of commerce located within 15 minutes by car from the supermarket in Saint-Gely-du-Fesc, the Casino group will gather after the operation the target store under the Norma brand (780 m² of sales area), five Casino supermarkets (with a total area of 6,460 m²), and one Casino hypermarket (3,756 m²). At the end of the operation, the market share of the parties in food retail space will be [40-50]%, with the acquisition of Norma representing a limited market share increment of [0-5]%.</w:t>
      </w:r>
    </w:p>
    <w:p>
      <w:r>
        <w:rPr>
          <w:b/>
        </w:rPr>
        <w:t>[Pages 7–9]</w:t>
      </w:r>
    </w:p>
    <w:p>
      <w:r>
        <w:t>29. Casino will face competition in this area from a hypermarket (5,595 m²) and a Carrefour supermarket (650 m²), together representing [20-30]% of the area’s surfaces, from two Intermarché supermarkets of 2,100 m² and 1,426 m² of sales area ([10-20]%), from a Leclerc supermarket ([5-10]%), from a Dia supermarket of 875 m² ([0-5]%), and from a Lidl supermarket of 450 m² ([0-5%]), totaling five competing brands.</w:t>
      </w:r>
    </w:p>
    <w:p>
      <w:r>
        <w:t>30. It follows from these elements that the operation is not likely to harm competition in the Saint-Gély-du-Fesc area.</w:t>
      </w:r>
    </w:p>
    <w:p>
      <w:r>
        <w:t>b) Saint-Raphaël</w:t>
      </w:r>
    </w:p>
    <w:p>
      <w:r>
        <w:t>31. In the market comprising supermarkets and equivalent forms of trade located within a 15-minute drive from the Saint-Raphaël supermarket, the Casino group will gather after the operation the target store under the Norma brand (559 m² of sales area), seven Casino supermarkets (with a total area of 8,377 m²), one Casino hypermarket (5,571 m²), and one Monoprix supermarket (565 m²). Casino's market share will be [40-50]% after the operation, with the target store representing only [0-5]% of the sales areas in the catchment area.</w:t>
      </w:r>
    </w:p>
    <w:p>
      <w:r>
        <w:t>32. Casino will still face competition in this area from five groups, namely one Carrefour hypermarket (4,675 m², representing [10-20]% of the area’s surfaces), two Intermarché supermarkets of 1,508 m² and 1,750 m² of sales area ([10-20]%), one Leclerc supermarket (2,922 m², representing [5-10]% of the surfaces), two Lidl supermarkets of 900 m² and 1,437 m² ([5-10]%), and three Dia supermarkets (768 m², 932 m², and 1,000 m², representing [5-10]% of the area).</w:t>
      </w:r>
    </w:p>
    <w:p>
      <w:r>
        <w:t>33. It follows from these elements that the operation is not likely to harm competition in the Saint-Raphaël area.</w:t>
      </w:r>
    </w:p>
    <w:p>
      <w:r>
        <w:t>c) Sainte-Maxime</w:t>
      </w:r>
    </w:p>
    <w:p>
      <w:r>
        <w:t>34. In the market comprising supermarkets and equivalent forms of trade located within a 15-minute drive from the Sainte-Maxime supermarket, the Casino group will gather after the operation the target store under the Norma brand (299 m² of sales area), one Géant Casino hypermarket (4,712 m²), one Casino supermarket (1,024 m²), and two small retail outlets (Spar of 130 m² and Petit Casino of 171 m²), resulting in a total market share of [40-50]%, of which [0-5]% is for the target store.</w:t>
      </w:r>
    </w:p>
    <w:p>
      <w:r>
        <w:t>35. The new entity will still face competition from three groups, namely two Carrefour supermarkets (1,725 m² and 2,405 m²) representing [30-40]% of the area’s surfaces, two Dia supermarkets (730 m² and 1,024 m², representing [10-20]% of the surfaces), and one Lidl supermarket of 483 m² ([0-5]%).</w:t>
      </w:r>
    </w:p>
    <w:p>
      <w:r>
        <w:t>36. It follows from these elements that the operation is not likely to harm competition in the Sainte-Maxime area.</w:t>
      </w:r>
    </w:p>
    <w:p>
      <w:r>
        <w:t>d) Charlieu</w:t>
      </w:r>
    </w:p>
    <w:p>
      <w:r>
        <w:t>37. In the market comprising supermarkets and equivalent forms of trade located within a 15-minute drive from the Charlieu supermarket, the Casino group will gather after the operation the target store under the Norma brand (750 m² of sales area) and one Casino supermarket (1,312 m²). Casino's market share in this area will therefore represent [40-50]% of the surfaces, of which [10-20]% is for the target store.</w:t>
      </w:r>
    </w:p>
    <w:p>
      <w:r>
        <w:t>38. Casino will face competition in this area from two Intermarché supermarkets. These stores, with respective areas of 600 m² and 2,000 m², represent [50-60]% of the area’s surfaces.</w:t>
      </w:r>
    </w:p>
    <w:p>
      <w:r>
        <w:t>39. In this area, the operation results in a reduction from three to two operators. It therefore significantly increases market concentration, with an addition of market shares in favor of the Casino group of [10-20]% and a change in the IHH of 739, which is well above the threshold of 250, usually retained to detect the likelihood of horizontal effects in highly concentrated markets.</w:t>
      </w:r>
    </w:p>
    <w:p>
      <w:r>
        <w:t>40. The notifying party, however, argues that "only 4 points of sale are present in the 0-15 minute area, so new entrants can easily establish themselves," which could change Casino's position "at any time" given the absence of regulatory barriers to opening stores with an area of less than 1,000 m². However, it provides no evidence regarding the existence of an opening project or anything that illustrates the attractiveness for new establishments in this area, which has approximately 3,680 inhabitants.</w:t>
      </w:r>
    </w:p>
    <w:p>
      <w:r>
        <w:t>41. The notifying party further argues that account should be taken of the competitive pressure exerted in the catchment area by hypermarkets located within 30 minutes of the target store. Indeed, there are three competing hypermarkets, under the brands Carrefour, Leclerc, and Système U, located in municipalities around the city of Roanne. The closest to the target store is a hypermarket operated under the Carrefour brand, located in Mably, about 25 minutes from the target store. In this regard, the notifying party argues that in a rural area, the nearest hypermarket is likely to exert strong attractiveness on the populations concerned.</w:t>
      </w:r>
    </w:p>
    <w:p>
      <w:r>
        <w:t>42. Nevertheless, the travel time required to reach the Carrefour hypermarket in Mably from the target store is significantly greater than 15 minutes by car, which is the limit retained by decision-making practice to assess the effects of concentration operations related to supermarkets. No evidence in the file, particularly regarding the socio-economic characteristics of the area concerned and the points of sale involved, is likely to alter this finding in this case. In particular, the notifying party provides no evidence showing that despite its distance, the Carrefour hypermarket in Mably could be used by consumers in the Charlieu area as a substitute proximity store for the target store, where small purchases can be made frequently.</w:t>
      </w:r>
    </w:p>
    <w:p>
      <w:r>
        <w:t>43. Finally, the notifying party argues that the stores of the Casino group will face competition from the food markets in Charlieu, which take place on Wednesdays and Saturdays. However, the competitive pressure from the markets will remain limited both in terms of timing, as they do not offer consumers a permanent offer like a supermarket, and in terms of assortment, as their offer, focused on fresh products, only partially overlaps with that of a supermarket.</w:t>
      </w:r>
    </w:p>
    <w:p>
      <w:r>
        <w:t>44. The operation, which results in the creation of a duopoly in the area, with the number of brands operating a supermarket decreasing from three to two, therefore harms the competitive situation in the Charlieu area.</w:t>
      </w:r>
    </w:p>
    <w:p>
      <w:r>
        <w:t>45. To remedy this, the notifying party has proposed to sell to a competitor the supermarket under the Norma brand located in Charlieu (42) with a food and total area of 750 m². This commitment will restore the pre-existing competitive conditions prior to the operation, maintaining the presence of three competing brands in the 15-minute area around the target store located in Charlieu.</w:t>
      </w:r>
    </w:p>
    <w:p>
      <w:r>
        <w:t>46. Consequently, subject to the proposed commitment, the operation is not likely to harm competition in the Charlieu area.</w:t>
      </w:r>
    </w:p>
    <w:p>
      <w:r>
        <w:t>B. UPSTREAM SUPPLY MARKETS</w:t>
      </w:r>
    </w:p>
    <w:p>
      <w:r>
        <w:t>47. Regarding the upstream supply markets, the operation, even though it concerns 38 stores already opened and operated in France, represents, in 2011, approximately […] euros in purchasing turnover, which is less than [0-5]% of the turnover achieved by the Casino group in France. The acquisition of the Norma group is therefore not likely to significantly strengthen the purchasing power of the Casino group, both across all products and by major product groups.</w:t>
      </w:r>
    </w:p>
    <w:p>
      <w:r>
        <w:t>48. The operation is therefore not likely to strengthen the purchasing power of the Casino group in the upstream supply markets, regardless of the market segmentation retained.</w:t>
      </w:r>
    </w:p>
    <w:p>
      <w:r>
        <w:t>IV. Proposed Commitments</w:t>
      </w:r>
    </w:p>
    <w:p>
      <w:r>
        <w:t>49. In order to address serious doubts regarding the effects of the operation on competition in the downstream retail markets with a food dominance in the Charlieu area, the notifying party submitted on April 15, 2013, a proposal for commitments that was last modified on May 2, 2013. The text of these commitments, attached in the annex, is an integral part of this decision.</w:t>
      </w:r>
    </w:p>
    <w:p>
      <w:r>
        <w:t>50. The commitments proposed by the notifying party consist of the sale, to a viable and independent buyer, of the point of sale under the Norma brand with an area of 750 m², located at 7, rue Dorian in Charlieu (42).</w:t>
      </w:r>
    </w:p>
    <w:p>
      <w:r>
        <w:t>51. Furthermore, the notifying party prohibits itself, for a period of 10 years from the date of this decision, from acquiring direct or indirect influence over the sold store.</w:t>
      </w:r>
    </w:p>
    <w:p>
      <w:r>
        <w:t>52. The notifying party also commits to appoint an independent representative whose mission will be to ensure the satisfactory execution by FPLPH and the Casino group of their obligations. If it does not find a buyer for the Charlieu supermarket after a period of […] months from the date of adoption of the decision, a representative will be tasked with finding a buyer for the store and negotiating with them, on behalf of the notifying party, the terms of the sale.</w:t>
      </w:r>
    </w:p>
    <w:p>
      <w:r>
        <w:t>53. The buyer must be independent of the notifying party and have no ties to it. They must possess the financial resources and expertise to preserve and develop the viability of the divested activities to stimulate competition in the relevant markets.</w:t>
      </w:r>
    </w:p>
    <w:p>
      <w:r>
        <w:rPr>
          <w:b/>
        </w:rPr>
        <w:t>[Pages 10–10]</w:t>
      </w:r>
    </w:p>
    <w:p>
      <w:r>
        <w:t xml:space="preserve">54. This commitment leads to the elimination of the overlap in activities that would result from the notified operation in the Charlieu area, limits the market share of the Casino group to [20-30]%, and maintains competition from three brands in the relevant area, thus ensuring a situation identical to that which existed prior to the operation. It therefore addresses the identified risks of harm to competition.  </w:t>
        <w:br/>
        <w:t xml:space="preserve">55. Consequently, the Authority considers that the commitments proposed by the notifying party are sufficient to eliminate any serious doubts regarding the effects of the operation on competition.  </w:t>
        <w:br/>
        <w:t xml:space="preserve">DECIDES  </w:t>
        <w:br/>
        <w:t xml:space="preserve">Sole Article: The operation notified under number 13-033 is authorized subject to compliance with the commitments described above and attached to this decision.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