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https://www.autoritedelaconcurrence.fr/fr/decision-de-controle-des-concentrations/relative-la-prise-de-controle-exclusif-par-la-societe-14</w:t>
      </w:r>
    </w:p>
    <w:p>
      <w:r>
        <w:t>Pages translated : 2</w:t>
      </w:r>
    </w:p>
    <w:p/>
    <w:p>
      <w:r>
        <w:rPr>
          <w:b/>
        </w:rPr>
        <w:t>[Pages 1–2]</w:t>
      </w:r>
    </w:p>
    <w:p>
      <w:r>
        <w:t xml:space="preserve">FRENCH REPUBLIC  </w:t>
        <w:br/>
        <w:t xml:space="preserve">Decision No. 14-DCC-111 of July 21, 2014  </w:t>
        <w:br/>
        <w:t>regarding the exclusive control acquisition by the company Franprix Leader Price Holding (Casino Group) of the companies Goussaindis, Maffidis, Cédimont, Mantes Distribution, and Jofradis</w:t>
      </w:r>
    </w:p>
    <w:p>
      <w:r>
        <w:t>The Competition Authority,</w:t>
      </w:r>
    </w:p>
    <w:p>
      <w:r>
        <w:t xml:space="preserve">Having regard to the complete notification file submitted to the mergers department on June 24, 2014, concerning the exclusive control acquisition by the company Franprix Leader Price Holding (Casino Group) of the companies Cédimont, Mantes Distribution, Jofradis, Goussaindis, and Maffidis, formalized by a memorandum of understanding dated June 23, 2014;  </w:t>
        <w:b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transition from joint control of the companies Goussaindis, Cédimont, Jofradis, Mantes Distribution, and Maffidis by the company Franprix Leader Price Holding (Casino Group) and the partners [X] to exclusive control of these companies by the Casino Group. The companies Cédimont, Mantes Distribution, Jofradis, Goussaindis, and Maffidis each operate a retail business primarily focused on food under the Leader Price brand, located in the cities of Montigny-lès-Cormeilles (95), Mantes la Ville (78), Sartrouville (78), Goussainville (95), and Maffliers (95). This constitutes a concentration operation within the meaning of Article L. 430-1 of the Commercial Code. Given the turnover generated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14-110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