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https://www.autoritedelaconcurrence.fr/fr/decision-de-controle-des-concentrations/relative-la-prise-de-controle-exclusif-par-la-societe-15</w:t>
      </w:r>
    </w:p>
    <w:p>
      <w:r>
        <w:t>Pages translated : 7</w:t>
      </w:r>
    </w:p>
    <w:p/>
    <w:p>
      <w:r>
        <w:rPr>
          <w:b/>
        </w:rPr>
        <w:t>[Pages 1–3]</w:t>
      </w:r>
    </w:p>
    <w:p>
      <w:r>
        <w:t xml:space="preserve">FRENCH REPUBLIC  </w:t>
        <w:br/>
        <w:t xml:space="preserve">Decision No. 14-DCC-146 of October 8, 2014  </w:t>
        <w:br/>
        <w:t>regarding the exclusive control by the company Casino Guichard-Perrachon of 63 retail stores with a predominant food focus</w:t>
      </w:r>
    </w:p>
    <w:p>
      <w:r>
        <w:t xml:space="preserve">The Competition Authority,  </w:t>
        <w:br/>
        <w:t xml:space="preserve">Having regard to the notification file submitted in full to the merger service on September 3, 2014, concerning the exclusive control by the company Casino Guichard-Perrachon of 63 retail stores with a predominant food focus operated under the brands "Le Mutant," "Mutant Express," "C. Express," and "Point Coop," formalized by a protocol agreement signed on June 30,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public limited company Casino Guichard Perrachon is the parent company of the Casino group, a French player in food distribution, which manages a network of over 14,000 stores (hypermarkets, supermarkets, convenience stores, discount stores) under brands including Franprix, Géant Casino, Casino Supermarché, Petit Casino, Spar, Vival, Monoprix, and Leader Price. The Casino group is also present in the online distribution sector of non-food products under the brand Cdiscount. The Casino group is controlled by the company Euris, which is itself controlled by Mr. Jean-Charles Naouri.  </w:t>
        <w:br/>
        <w:t xml:space="preserve">2. The targets, 63 retail stores with a predominant food focus1 operated under the brands "Le Mutant," "Mutant Express," "C. Express," and "Point Coop" located in the west and north of France, are currently controlled by the Coopérateurs de Normandie-Picardie, a regional cooperative active in the northwest of France. The operation, formalized by a promise of agreement signed on June 30, 2014, involves the transfer by Les Coopérateurs de Normandie-Picardie to the company Casino Guichard-Perrachon of the business assets of 63 retail stores with a predominant food focus, as well as the ownership of the premises of 49 of these stores2. As it results in the exclusive control of 63 retail stores with a predominant food focus by Casino, the operation constitutes a concentration operation within the meaning of Article L. 430-1 of the Commercial Code.  </w:t>
        <w:br/>
        <w:t>3. The concerned companies operate several retail stores and together achieve a total worldwide turnover of more than 75 million euros (Casino group: 48.6 billion euros for the fiscal year ending December 31, 2013; the target business assets: […] euros for the same fiscal year). They achieve in France, in the retail sector, a turnover exceeding 15 million euros (Casino group: 19.5 billion euros for the fiscal year ending December 31, 2013; the target business assets: […] euros for the same fiscal year). Given these turnover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4. According to the consistent practice of national and community competition authorities3, two categories of markets can be delineated4 in the food distribution sector. These are, on the one hand, "downstream" markets, of a local dimension, which bring together retail companies and consumers for the sale of consumer goods and, on the other hand, "upstream" supply markets where companies as buyers are in contact with product manufacturers.</w:t>
      </w:r>
    </w:p>
    <w:p>
      <w:r>
        <w:t xml:space="preserve">A. UPSTREAM SUPPLY MARKET  </w:t>
        <w:br/>
        <w:t xml:space="preserve">5. Regarding supply markets, the European Commission5 has identified the existence of national markets by major product groups, a delineation followed by national authorities6.  </w:t>
        <w:br/>
        <w:t>6. There is no reason to challenge this delineation on the occasion of the present operation.</w:t>
      </w:r>
    </w:p>
    <w:p>
      <w:r>
        <w:t xml:space="preserve">B. DOWNSTREAM DISTRIBUTION MARKETS  </w:t>
        <w:br/>
        <w:t xml:space="preserve">1. SERVICE MARKETS  </w:t>
        <w:br/>
        <w:t xml:space="preserve">7. Concerning the retail sale of everyday consumer goods, competition authorities, both at the community and national levels7, have distinguished six categories of trade using several criteria, including store size, sales techniques, accessibility, the nature of the service provided, and the range of products offered: (i) hypermarkets, (ii) supermarkets, (iii) specialized trade, (iv) small retail trade, (v) maxi discounters, (vi) mail order.  </w:t>
        <w:br/>
        <w:t xml:space="preserve">8. Hypermarkets are usually defined as stores with a predominant food focus with a sales area equal to or greater than 2,500 m², supermarkets as stores with a predominant food focus with a sales area of less than 2,500 m² and greater than 400 m², and convenience stores as stores with a predominant food focus with a sales area8 of less than 400 m² and greater than 120 m².  </w:t>
        <w:br/>
        <w:t>9. Regarding convenience stores with a predominant food focus, decision-making practice has specified that it is necessary to analyze the conditions under which the market actually operates, notably the fact that, in a number of geographical configurations, a hypermarket, a supermarket, or a maxi-discount store may be habitually used by certain consumers as a convenience store, substituting for a convenience store, while specifying that the reverse is not true9.</w:t>
      </w:r>
    </w:p>
    <w:p>
      <w:r>
        <w:t xml:space="preserve">5 See the Commission's decisions COMP / M.1684 Carrefour/Promodès of January 25, 2000, COMP / M.2115 Carrefour/GB of September 28, 2000.  </w:t>
        <w:br/>
        <w:t xml:space="preserve">6 See in particular the decisions of the minister in the sector, C.2005-98 Carrefour/Penny Market of November 10, 2005, C.2006-15 Carrefour/Groupe Hamon of April 14, 2006, C.2007-172 relating to the creation of the joint venture Plamidis of February 13, 2008, and C.2008-32 Carrefour/SAGC of July 9, 2008, as well as the decision of the Competition Authority No. 13-DCC-90 mentioned above.  </w:t>
        <w:br/>
        <w:t xml:space="preserve">7 See in particular the decisions of the Minister of Economy, Finance and Industry in the sector: C.2008-32 Amidis SAGC of July 9, 2008, C.2007-172 Carrefour Plane Plamidis of February 13, 2008, C.2007-154 Système U Vergali of December 3, 2007, C.2007-05 Carrefour Sofadi of March 26, 2007, C.2006-15 Amidis Hamon of April 14, 2006, C.2005-98 Carrefour Penny Market of November 10, 2005. See also decision No. 12-DCC-112 of August 3, 2012, regarding the exclusive control of the company SNC Schlecker by the company Système U Centrale Régionale Sud.  </w:t>
        <w:br/>
        <w:t xml:space="preserve">8 See the decision of the Competition Authority No. 12-DCC-112 mentioned above.  </w:t>
        <w:br/>
        <w:t>9 See the decisions of the Competition Authority No. 10-DCC-25 of March 19, 2010, regarding the exclusive control of assets of the Louis Delhaize group by the company H Distribution (Hoio group), No. 12-DCC-112 of August 3, 2012, regarding the exclusive control of the company SNC Schlecker by the company Système U Centrale Régionale Sud, and No. 13-DCC-90 of July 11, 2013, regarding the exclusive control of the company Monoprix by the company Casino Guichard-Perrachon as well.</w:t>
      </w:r>
    </w:p>
    <w:p>
      <w:r>
        <w:rPr>
          <w:b/>
        </w:rPr>
        <w:t>[Pages 4–6]</w:t>
      </w:r>
    </w:p>
    <w:p>
      <w:r>
        <w:t xml:space="preserve">decision-making10 noted that small self-service stores (with an area of less than 120 m²) offered an assortment and price level likely to limit their ability to sustainably compete with convenience stores and, a fortiori, supermarkets or hypermarkets.  </w:t>
        <w:br/>
        <w:t xml:space="preserve">10. It is not necessary in this case to decide on the existence of a distinct market for small self-service stores, as the conclusions of the competitive analysis will remain unchanged, regardless of the delineation adopted.  </w:t>
        <w:br/>
        <w:t xml:space="preserve">11. In this case, among the 63 target stores, 5 of them have an area between 400 m² and 2,500 m²: they therefore fall into the category of supermarkets. The other 58 target stores have a sales area of less than 400 m² (of which 36 stores have an area between 120 m² and 400 m² and 22 have an area of less than 120 m²) fall into the category of small retail. They will be subject to a competitive analysis taking into account the following food-focused store formats: hypermarkets, supermarkets, hard discounters, convenience stores, and small self-service stores belonging to a national network11.  </w:t>
        <w:br/>
        <w:t xml:space="preserve">2. GEOGRAPHICAL DELIMITATION  </w:t>
        <w:br/>
        <w:t xml:space="preserve">12. It follows from decision-making practice12 that the competitive conditions relating to supermarkets and hypermarkets are assessed over two different areas depending on the size of the stores:  </w:t>
        <w:br/>
        <w:t xml:space="preserve">- a market where consumer demand meets the supply of supermarkets and equivalent forms of trade located within a 15-minute drive. These latter forms of trade may include, in addition to supermarkets, hypermarkets located close to consumers and discount stores;  </w:t>
        <w:br/>
        <w:t xml:space="preserve">- a second market where consumer demand from one area meets the supply of hypermarkets that they can access within a 30-minute drive and which are, from their perspective, substitutable for each other.  </w:t>
        <w:br/>
        <w:t xml:space="preserve">13. The Authority therefore considers that the competitive analysis must focus on these two markets when the target store is a hypermarket and that it must only focus on the first aforementioned market when the target store is a supermarket. The Authority consistently reminds that these delimitations are subject to change on a case-by-case basis, depending on the characteristics of the local area. The attractiveness of stores of the same format may vary according to the density and quality of the commercial equipment in an area. The socio-economic characteristics of the area concerned (population density, economic activity, geography, state of the road network) may also lead to refining, on a case-by-case basis, the usual delimitations presented above.  </w:t>
        <w:br/>
        <w:t xml:space="preserve">10 See in particular decision n°12-DCC-112 mentioned above and the decision of the Competition Authority n° 14-DCC-30 of March 6, 2014, relating to the exclusive control by the company Carrefour Proximité France of 129 retail stores with a predominant food focus.  </w:t>
        <w:br/>
        <w:t xml:space="preserve">11 See the decision of the Competition Authority n° 14-DCC-30 mentioned above.  </w:t>
        <w:br/>
        <w:t>12 See in particular the decisions of the Competition Authority n°11-DCC-04 of January 28, 2011, relating to the exclusive control of the company Mafical by the company ITM Alimentaire Région parisienne; decision n°11-DCC-05 of January 17, 2011, relating to the exclusive control of the company Distri Sud-Ouest by the company Retail Leader Price Investissement; decision n°11-DCC-45 of March 18, 2011, relating to the exclusive control of the business assets of the hypermarket Cora Desmarais by the company Sodex Desmarais, and the aforementioned decision n°12-DCC-63.</w:t>
      </w:r>
    </w:p>
    <w:p>
      <w:r>
        <w:t xml:space="preserve">14. In this case, 5 of the target stores fall into the category of supermarkets. A catchment area defined considering a maximum driving time of 15 minutes has therefore been retained around the stores concerned.  </w:t>
        <w:br/>
        <w:t xml:space="preserve">15. Regarding convenience stores, the Authority had the opportunity to specify13 that the relevant catchment area was smaller than that defined for supermarkets14. Regarding provincial city centers, the Authority thus examined the effects of the operation in catchment areas defined considering 10-minute walking distances around convenience stores, as walking was deemed a more relevant mode of transportation than driving.  </w:t>
        <w:br/>
        <w:t xml:space="preserve">16. In this case, 58 target stores are convenience stores or small self-service stores, with a sales area of less than 400 m² (of which 36 have an area between 120 and 400 m² and 22 have a sales area of less than 120 m²). The effects of the present operation will therefore be examined over a catchment area of 10 minutes walking distance around the stores concerned.  </w:t>
        <w:br/>
        <w:t xml:space="preserve">17. The Authority consistently reminds that these delimitations are subject to change on a case-by-case basis, depending on the characteristics of the local area. The attractiveness of stores of the same format may vary according to the density and quality of the commercial equipment in an area. The socio-economic characteristics of the area concerned (population density, economic activity, geography, state of the road network) may also lead to refining, on a case-by-case basis, the usual delimitations presented above.  </w:t>
        <w:br/>
        <w:t xml:space="preserve">III. Competitive Analysis  </w:t>
        <w:br/>
        <w:t xml:space="preserve">A. UPSTREAM SUPPLY MARKETS  </w:t>
        <w:br/>
        <w:t xml:space="preserve">18. Regarding upstream supply markets, purchases by the entire Casino group represented in 2013 less than […] euros, or less than [10-20]% of the overall supply market. The share of purchases by the Casino group is less than [10-20]% regardless of the product category considered. The cumulative amount of purchases made by the 63 stores concerned by the operation amounts to […] euros, or less than [0-5]% of the amount of purchases made in France in the upstream supply market. The share of cumulative purchases of the target stores and Casino in each of the markets defined by product category according to decision-making practice will be less than 15%.  </w:t>
        <w:br/>
        <w:t xml:space="preserve">19. The operation is therefore not likely to strengthen Casino's purchasing power in the upstream supply markets, regardless of the market segmentation adopted.  </w:t>
        <w:br/>
        <w:t xml:space="preserve">13 See the decisions of the Competition Authority n°12-DCC-112 mentioned above and n°13-DCC-144 of November 28, 2013, relating to the exclusive control by the company Franprix Leader Price Holding (Casino group) of the companies Ardis, Badis, Nidis, Saudis, Eldis, Puidis, Pedis, Cydis, Breadis, Clemendis, and Carbudis.  </w:t>
        <w:br/>
        <w:t>14 See the decisions of the Competition Authority n°10-DCC-25, n°12-DCC-112, n°13-DCC-90, and n°13-DCC-144 mentioned above.</w:t>
      </w:r>
    </w:p>
    <w:p>
      <w:r>
        <w:t xml:space="preserve">B. DOWNSTREAM DISTRIBUTION MARKETS WITH A FOOD FOCUS  </w:t>
        <w:br/>
        <w:t xml:space="preserve">20. The operation involves an overlap of activities between the target stores and other stores owned by the Casino group in six catchment areas. In three areas, the operation concerns a point of sale with an area greater than 400 m² and in the other three areas, it concerns a point of sale with an area less than 400 m².  </w:t>
        <w:br/>
        <w:t xml:space="preserve">1. REGARDING POINTS OF SALE WITH AN AREA GREATER THAN 400 M²  </w:t>
        <w:br/>
        <w:t xml:space="preserve">21. The operation involves an overlap in the catchment areas of 15 minutes by car around the target supermarkets located in Amiens (rue de Cagny) (80), Criquetot-L’Esneval (76), and La Glacière (50).  </w:t>
        <w:br/>
        <w:t xml:space="preserve">22. In these three areas, the cumulative market share of the parties will remain below 35% after the operation and they will continue to face competition from at least three competing distribution groups, except in the area of Criquetot-L’Esneval (76), where only two competing distribution groups are present. However, in this latter area, the Casino group will hold only [10-20]% market share.  </w:t>
        <w:br/>
        <w:t xml:space="preserve">23. The operation is therefore not likely to harm competition in the areas of Amiens (rue de Cagny) (80), Criquetot-L’Esneval (76), and La Glacière (50).  </w:t>
        <w:br/>
        <w:t xml:space="preserve">2. REGARDING POINTS OF SALE WITH AN AREA LESS THAN 400 M²  </w:t>
        <w:br/>
        <w:t xml:space="preserve">24. The operation involves an overlap in the catchment areas of 10 minutes walking distance around the target stores located in Laon (02) and Rouen (place Cauchoise and place de la Croix de Pierre) (76).  </w:t>
        <w:br/>
        <w:t xml:space="preserve">25. In the two catchment areas of Rouen (place Cauchoise and place de la Croix de Pierre) (76), the cumulative market share of the parties will remain below 35% after the operation and they will continue to face competition from at least three competing distribution groups.  </w:t>
        <w:br/>
        <w:t xml:space="preserve">26. In the area of Laon (02), the target store is a convenience store of 55 m² and the nearest point of sale is a Spar store of 160 m² located between 8 and 11 minutes walking distance. If the Spar store were to be included in the catchment area of the target point of sale, the parties would be in a monopoly in this area. However, the companies surveyed in the context of the market test indicated that the city of Laon has the particularity of being separated by a staircase of nearly 300 steps, between a high town and a low town, and that this configuration significantly reduces competition between the two stores of the parties located in a distinct part of the city. The market test also revealed that the presence of the POMA, a mini-metro designed to connect the two parts of the city, does not undermine this analysis.  </w:t>
        <w:br/>
        <w:t>27. The operation is therefore not likely to harm competition in the areas of Laon (02) and Rouen (place Cauchoise and place de la Croix de Pierre) (76).</w:t>
      </w:r>
    </w:p>
    <w:p>
      <w:r>
        <w:rPr>
          <w:b/>
        </w:rPr>
        <w:t>[Pages 7–7]</w:t>
      </w:r>
    </w:p>
    <w:p>
      <w:r>
        <w:t xml:space="preserve">DECIDES  </w:t>
        <w:br/>
        <w:t xml:space="preserve">Sole Article: The operation notified under number 14-128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