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https://www.autoritedelaconcurrence.fr/fr/decision-de-controle-des-concentrations/relative-la-prise-de-controle-exclusif-par-la-societe-16</w:t>
      </w:r>
    </w:p>
    <w:p>
      <w:r>
        <w:t>Pages translated : 7</w:t>
      </w:r>
    </w:p>
    <w:p/>
    <w:p>
      <w:r>
        <w:rPr>
          <w:b/>
        </w:rPr>
        <w:t>[Pages 1–3]</w:t>
      </w:r>
    </w:p>
    <w:p>
      <w:r>
        <w:t xml:space="preserve">FRENCH REPUBLIC  </w:t>
        <w:br/>
        <w:t xml:space="preserve">Decision No. 14-DCC-30 of March 6, 2014  </w:t>
        <w:br/>
        <w:t xml:space="preserve">regarding the exclusive control by Carrefour Proximité France of 129 retail stores with a food-dominant focus  </w:t>
        <w:br/>
        <w:t xml:space="preserve">The Competition Authority,  </w:t>
        <w:br/>
        <w:t xml:space="preserve">Having regard to the notification file submitted in full to the merger service on February 7, 2014, regarding the exclusive control by Carrefour Proximité France of 129 retail stores with a food-dominant focus operated under the "Coop," "Point Coop," and "Supermarché Coop" brands, formalized by a unilateral purchase promise signed on December 3,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Carrefour Proximité France is a subsidiary of the Carrefour group (hereinafter "Carrefour"), present in the predominantly food retail sector. In France, Carrefour operates hypermarkets under the Carrefour and Champion brands and supermarkets under the Champion and Carrefour Market brands. It also operates convenience stores under the Carrefour City, Carrefour Contact, Shopi, 8 à Huit, Marché plus, and Proxi brands. Furthermore, Carrefour enters into branding and supply contracts with companies operating retail stores with a food-dominant focus, allowing these companies to operate their points of sale under one of the Carrefour group brands, to source from Carrefour's purchasing centers, to benefit from purchasing conditions negotiated by Carrefour with suppliers referenced by Carrefour, and to benefit from the services offered by Carrefour.  </w:t>
        <w:br/>
        <w:t xml:space="preserve">2. The targets of the operation are 129 retail stores with a food-dominant focus1 operated under the "Coop," "Point Coop," and "Supermarché Coop" brands located in the departments of Bas-Rhin (67) and Haut-Rhin (68). These stores are currently controlled by the Union des Coopérateurs d’Alsace (hereinafter "UCA"), a variable capital consumer cooperative active in the east of France.  </w:t>
        <w:br/>
        <w:t xml:space="preserve">3. The operation, formalized by a unilateral purchase promise signed on December 3, 2013, consists of the transfer by UCA to Carrefour Proximité France of the business assets of 129 retail stores with a food-dominant focus, as well as the ownership of the premises of 50 of these stores2. In view of these elements, Carrefour will exercise exclusive control over the 129 target stores at the conclusion of the operation.  </w:t>
        <w:br/>
        <w:t xml:space="preserve">4. As it results in the exclusive control of 129 retail stores with a food-dominant focus by Carrefour, the operation constitutes a concentration operation within the meaning of Article L. 430-1 of the Commercial Code.  </w:t>
        <w:br/>
        <w:t xml:space="preserve">5. The concerned companies operate several retail stores and together achieve a total worldwide turnover of more than 75 million euros (Carrefour: 76.8 billion euros for the fiscal year ending December 31, 2012; the target business assets: 65 million euros for the fiscal year ending December 31, 2013). They achieve in France, in the retail sector, a turnover exceeding 15 million euros (Carrefour: 35.3 billion euros for the fiscal year ending December 31, 2012; the target business assets: 65 million euros for the fiscal year ending December 31, 2013).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 xml:space="preserve">1 These retail stores with a food-dominant focus are located in Strasbourg (67), Meistratzheim (67), Schiltigheim (67), Mutzig (67), Weyersheim (67), Ottrott (67), Geispolsheim (67), Wasselonne (67), Saverne (67), Brumath (67), Gertsheim (67), Dettwiller (67), Mertzwiller (67), Andlau (67), Molsheim (67), Erstein (67), Sessenheim (67), Hoerth, Lauterbourg (67), Liepvre (67), La Wantzenau (67), Offendorf (67), Scweighouse (67), Epfig (67), Urmatt (67), Barr (67), Bouxwiller (67), Niederhaslach (67), Geudertheim (67), Niederbronn (67), Steinbourg (67), Monswiller (67), Ittenheim (67), Mundolsheim (67), Rhinau (67), Muttersholtz (67), Scwindratzheim (67), Dinsheim sur Bruche (67), Vendenheim (67), Blaesheim (67), Dorlisheim (67), Gundershoffen (67), Greswiller (67), Ebersheim (67), Souffelweyersheim (67), Durrenbach (67), Boersch (67), Westhoffen (67), Wisches (67), Duppigheim (67), Still (67), Oberhaslach (67), Fegersheim (67), Eschau (67), Lipsheim (67), Hindisheim (67), Lutzelbourg (57), Sarre Union (67), Molsheim (67), Ohnheim (67), Nordhouse (67), Wingersheim (67), Mommenheim (67), Chatenois (67), Niederlauterbach (67), Eckbolsheim (67), Beinheim (67), Woerth (67), Lembach (67), Schleithal (67), Imbsheim (67), Neuwiller les Saverne (67), Wolxheim (67), Preuschdorf (67), Lutzelhouse (67), Wittisheim (67), Soufflenheim (67), Krautergersheim (67), Wissembourg (67), Grendelbruch (67), Rothau (67), Bischoffsheim (67), Furdenheim (67), Wingen sur Modder (67), Weitbruch (67), Wimmenau (67), Schirrhein (67), Bischheim (67), Sélestat (67), Mulhouse (68), Illzach (68), Buhl (68), Thann (68), Guebwiller (68), Morschwiller le Bas (68), Merxheim (68), Zillisheim (68), Reguisheim (68), Munchhouse (68), Meyenheim (68), Sentheim (68), Pulversheim (68), Guemar (68), Beblenheim (68), Breitenbach (68), Ribeauvillé (68), Metzeral (68), Bergheim (68), Ingersheim (68), Colmar (68), Ostheim (68), Walbach (68), Colmar (68), and Bennwihr (68).  </w:t>
        <w:br/>
        <w:t xml:space="preserve">2 The stores whose premises will be transferred to Carrefour Proximité France in the context of this operation are located in Strasbourg (67), Mutzig (67), Weyersheim (67), Wasselonne (67), Saverne (67), Brumath (67), Gertsheim (67), Dettwiller (67), Mertzwiller (67), Andlau (67), Sessenheim (67), Hoerth (67), La Wantzenau (67), Offendorf (67), Scweighouse (67), Urmatt (67), Barr (67), Niederbronn (67), Monswiller (67), Mundolsheim (67), Muttersholtz (67), Gundershoffen (67), Souffelweyersheim (67), Oberhaslach (67), Fegersheim (67), Lipsheim (67), Hindisheim (67), Sarre Union (67), Ohnheim (67), Nordhouse (67), Geispolsheim (67), Niederlauterbach (67), Eckbolsheim (67), Wittisheim (67), Wissembourg (67), Grendelbruch (67), Bischoffsheim (67), Metzeral (68), and Colmar (68).  </w:t>
        <w:br/>
        <w:t xml:space="preserve">II. Delimitation of Relevant Markets  </w:t>
        <w:br/>
        <w:t xml:space="preserve">6. According to the consistent practice of national and community competition authorities3, two categories of markets can be delineated4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7. Regarding the retail sale of everyday consumer goods, competition authorities, both community and national5, have distinguished six categories of trade using several criteria, including store size, sales techniques, accessibility, the nature of the service provided, and the range of products offered: (i) hypermarkets, (ii) supermarkets, (iii) specialized trade, (iv) small retail trade, (v) maxi discounters, (vi) mail order sales.  </w:t>
        <w:br/>
        <w:t xml:space="preserve">8. Hypermarkets are usually defined as stores with a food-dominant focus with a sales area equal to or greater than 2,500 m², supermarkets as stores with a food-dominant focus with a sales area less than 2,500 m² and greater than 400 m², and convenience stores as stores with a food-dominant focus with a sales area6 less than 400 m² and greater than 120 m².  </w:t>
        <w:br/>
        <w:t xml:space="preserve">9. Concerning convenience stores with a food-dominant focus, decisional practice has specified that it is necessary to analyze the conditions under which the market effectively operates, notably the fact that, in a number of geographical configurations, a hypermarket, a supermarket, or a maxi-discount store may be habitually used by certain consumers as a convenience store, substituting for a convenience store, while specifying that the reverse is not true7.  </w:t>
        <w:br/>
        <w:t xml:space="preserve">3 See in particular the decisions of the Commission M.496 Intermarché/Spar of June 30, 1997, M.991 Promodès/Casino of October 30, 1997, and M.1684 Carrefour/Promodès of January 25, 2000. See also in particular decision No. 12-DCC-48 of April 6, 2012, regarding the exclusive control of Sofides by ITM Entreprises.  </w:t>
        <w:br/>
        <w:t xml:space="preserve">4 See in particular the decisions of the Commission in cases M.1221 Rewe/Meinl of February 3, 1999, M.1684 Carrefour/Promodès of January 25, 2000, and M.2115 Carrefour/GB of September 28, 2000. See also decision C.2005-98 Carrefour/Penny Market of November 10, 2005.  </w:t>
        <w:br/>
        <w:t xml:space="preserve">5 See in particular the decisions of the Minister of Economy, Finance, and Industry in the sector: C.2008-32 Amidis SAGC of July 9, 2008, C.2007-172 Carrefour Plane Plamidis of February 13, 2008, C.2007-154 Système U Vergali of December 3, 2007, C.2007-05 Carrefour Sofadi of March 26, 2007, C.2006-15 Amidis Hamon of April 14, 2006, C.2005-98 Carrefour Penny Market of November 10, 2005. See also decision No. 12-DCC-112 of August 3, 2012, regarding the exclusive control of SNC Schlecker by Système U Centrale Régionale Sud.  </w:t>
        <w:br/>
        <w:t xml:space="preserve">6 See the decision of the Competition Authority No. 12-DCC-112 mentioned above.  </w:t>
        <w:br/>
        <w:t>7 See the decisions of the Competition Authority No. 10-DCC-25 of March 19, 2010, regarding the exclusive control of assets of the Louis Delhaize group by H Distribution (Hoio group), No. 12-DCC-112 of August 3, 2012, regarding the exclusive control of SNC Schlecker by Système U Centrale Régionale Sud, and No. 13-DCC-90 of July 11, 2013, regarding the exclusive control of Monoprix by Casino Guichard-Perrachon.</w:t>
      </w:r>
    </w:p>
    <w:p>
      <w:r>
        <w:rPr>
          <w:b/>
        </w:rPr>
        <w:t>[Pages 4–6]</w:t>
      </w:r>
    </w:p>
    <w:p>
      <w:r>
        <w:t>10. The decisional practice8 has noted that small self-service stores (with an area of less than 120 m²) offered a range and price level likely to limit their ability to sustainably compete with convenience stores and, a fortiori, supermarkets or hypermarkets. In the present case, the notifying party argues that small self-service stores with an area of less than 120 m², which are part of a national network, belong to the same retail market as convenience stores over 120 m². In this regard, it specifies that a certain number of Coop or Point Coop stores have a sales area below the 120 m² threshold and that the same applies to some stores belonging to competing groups, such as those operated under the Spar or Petit Casino brands. It is not necessary in this case to resolve the question of the existence of a distinct market for small self-service stores, as the conclusions of the competitive analysis will remain unchanged, regardless of the delimitation retained.</w:t>
      </w:r>
    </w:p>
    <w:p>
      <w:r>
        <w:t>11. In this case, among the 129 target stores, 19 of them have an area greater than 400 m² and therefore fall into the category of supermarkets. The other 110 target stores, including 53 stores of less than 120 m², fall into the category of small retail and will be subject to a competitive analysis taking into account the following food-dominant store formats: hypermarkets, supermarkets, hard discounters, convenience stores, and small self-service stores belonging to a national network.</w:t>
      </w:r>
    </w:p>
    <w:p>
      <w:r>
        <w:t>2. GEOGRAPHICAL DELIMITATION</w:t>
        <w:br/>
        <w:t>12. It follows from the decisional practice9 that the competitive conditions relating to supermarkets and hypermarkets are assessed over two different areas depending on the size of the stores:</w:t>
        <w:br/>
        <w:t>- a market where the demand from consumers meets the supply of supermarkets and equivalent forms of commerce located within a 15-minute drive. These latter forms of commerce may include, in addition to supermarkets, hypermarkets located close to consumers and discount stores;</w:t>
        <w:br/>
        <w:t>- a second market where the demand from consumers in an area meets the supply of hypermarkets that they can access within a 30-minute drive and which are, from their perspective, substitutable for each other.</w:t>
      </w:r>
    </w:p>
    <w:p>
      <w:r>
        <w:t>13. The Authority therefore considers that the competitive analysis must focus on these two markets when the target store is a hypermarket and that it only focuses on the first* aforementioned market when the target store is a supermarket.</w:t>
      </w:r>
    </w:p>
    <w:p>
      <w:r>
        <w:t>14. The Authority consistently reminds that these delimitations may evolve on a case-by-case basis, depending on the characteristics of the local area. The attractiveness of stores of the same format may vary according to the density and quality of the commercial equipment in an area. The socio-economic characteristics of the area concerned (population density, economic activity, geography, state of the road network) may also lead to refining, on a case-by-case basis, the usual delimitations presented above.</w:t>
      </w:r>
    </w:p>
    <w:p>
      <w:r>
        <w:t>15. In this case, 19 of the target stores fall into the category of supermarkets. A catchment area defined by taking into account a maximum driving distance of 15 minutes has therefore been retained around the concerned stores.</w:t>
      </w:r>
    </w:p>
    <w:p>
      <w:r>
        <w:t>16. The other 110 target stores are convenience stores or small self-service stores, with an area ranging from 41.5 m² to 395 m². In recent decisions10, the Authority had the opportunity to specify that when the target stores are small retail stores (with a sales area of less than 400 m²), the relevant catchment area was smaller than that defined for supermarkets11. Regarding provincial city centers, the Authority thus examined the effects of the operation in catchment areas defined by taking into account 10-minute walking distances around the target stores, as walking was deemed, in these cases, more relevant than driving.</w:t>
      </w:r>
    </w:p>
    <w:p>
      <w:r>
        <w:t>17. Similarly, the effects of the present operation have been examined over a catchment area of 10 minutes walking around the target stores of less than 400 m². However, just as with larger stores, any relevant element leading, if necessary, to refine this delimitation on a case-by-case basis will be taken into account.</w:t>
      </w:r>
    </w:p>
    <w:p>
      <w:r>
        <w:t>B. UPSTREAM SUPPLY MARKET</w:t>
        <w:br/>
        <w:t>18. Regarding supply markets, the European Commission12 has recognized the existence of markets of national dimension by major product groups, a delimitation followed by national authorities13.</w:t>
      </w:r>
    </w:p>
    <w:p>
      <w:r>
        <w:t>19. There is no need to challenge this delimitation in the context of the present operation.</w:t>
      </w:r>
    </w:p>
    <w:p>
      <w:r>
        <w:t>III. Competitive Analysis</w:t>
        <w:br/>
        <w:t>A. UPSTREAM SUPPLY MARKETS</w:t>
        <w:br/>
        <w:t>20. Regarding the upstream supply markets, the purchases of the entire Carrefour group represented in 2013* less than […] euros, or less than [10-20]% of the overall supply market. The share of purchases by the Carrefour group is below [20-30]% regardless of the product category considered. The cumulative amount of purchases made by the 129 stores concerned by the operation amounts to […] euros, or less than [0-5]% of the total purchases made in France in the upstream supply market. The share of cumulative purchases of these 129 target stores in each of the markets defined by product category according to decisional practice is below [0-5]%.</w:t>
      </w:r>
    </w:p>
    <w:p>
      <w:r>
        <w:t>21. The operation is therefore not likely to strengthen Carrefour's purchasing power in the upstream supply markets, regardless of the market segmentation retained.</w:t>
      </w:r>
    </w:p>
    <w:p>
      <w:r>
        <w:t>B. DOWNSTREAM RETAIL MARKETS WITH A FOOD-DOMINANT FOCUS</w:t>
        <w:br/>
        <w:t>22. Regarding supermarkets, the Carrefour group held no other sales area than in a single zone, that defined around the target sales point in Brumath (67). In this zone, the cumulative market share of the parties is, however, limited to 3.6% and the Carrefour group will continue to face competition from seven competing distribution groups.</w:t>
      </w:r>
    </w:p>
    <w:p>
      <w:r>
        <w:t>23. Regarding proximity stores, the operation leads to overlaps in activities with other sales points under the Carrefour group in the catchment areas of the target stores located on faubourg Saint-Pierre and avenue des Vosges in Strasbourg (67).</w:t>
      </w:r>
    </w:p>
    <w:p>
      <w:r>
        <w:t>24. In the catchment area of the target store located on faubourg Saint-Pierre in Strasbourg (67), the cumulative market share of the parties is limited to 9.4% and the Carrefour group will face competition from two competing distribution groups. The operation is therefore not likely to harm competition in this area.</w:t>
      </w:r>
    </w:p>
    <w:p>
      <w:r>
        <w:t>25. In the catchment area of the target store located on avenue des Vosges in Strasbourg (67), with an area of 372 m², only two other target stores are currently present, with respective areas of 42 m² and 94 m², as well as a Carrefour Express store with a sales area of 87 m². Following the operation, the Carrefour group will therefore operate the entirety of the food areas in this zone, totaling 595 m².</w:t>
      </w:r>
    </w:p>
    <w:p>
      <w:r>
        <w:t>26. However, the opening of a Monop’ store of 440 m², which will be located less than five minutes on foot from the target store, is scheduled for December 2014. An authorization for this has been granted by the departmental commercial development commission of Bas-Rhin in 2010. This store will have a sales area and a product range superior to those of the other stores in the area and will therefore exert direct competitive pressure on the target store. Taking into account the upcoming opening of this Monop’ store, the market share of the Carrefour group in the area rises to 57.5%.</w:t>
      </w:r>
    </w:p>
    <w:p>
      <w:r>
        <w:t>27. Furthermore, a store of 1,905 m², operated under the Galeries Gourmandes brand, is located on the edge (11 minutes on foot) of the catchment area of the target store. Information gathered from Atac, a subsidiary of the Auchan group that operates stores under the Galeries Gourmandes brand, shows that the offering of these stores is similar to that of other supermarket brands in the group, even though they also offer some high-end products. Indeed, the Galeries Gourmandes stores source under the same conditions as the other supermarkets in the group and the depth of the product range, under private labels ("MDD") or supplier brands, is comparable to that of other supermarkets in the Auchan group. The average number of MDD product references is even higher than that of other supermarkets in the group. Finally, comparisons made between this brand and other supermarkets in the same group, regarding the share of food area in total area and their food turnover per m², confirm that the Galeries Gourmandes do not have a price positioning</w:t>
      </w:r>
    </w:p>
    <w:p>
      <w:r>
        <w:rPr>
          <w:b/>
        </w:rPr>
        <w:t>[Pages 7–7]</w:t>
      </w:r>
    </w:p>
    <w:p>
      <w:r>
        <w:t>particularly high. In light of these elements, this store is likely to exert significant competitive pressure on the target store, and the operation therefore does not harm competition in the catchment area located around Avenue des Vosges in Strasbourg (67).</w:t>
      </w:r>
    </w:p>
    <w:p>
      <w:r>
        <w:t>28. Consequently, the operation is not likely to harm competition in the relevant predominantly food retail distribution markets.</w:t>
      </w:r>
    </w:p>
    <w:p>
      <w:r>
        <w:t>DECIDES</w:t>
        <w:br/>
        <w:t>Sole Article: The operation notified under number 14-003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