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w:t>
      </w:r>
    </w:p>
    <w:p>
      <w:r>
        <w:t>Pages translated : 6</w:t>
      </w:r>
    </w:p>
    <w:p/>
    <w:p>
      <w:r>
        <w:rPr>
          <w:b/>
        </w:rPr>
        <w:t>[Pages 1–3]</w:t>
      </w:r>
    </w:p>
    <w:p>
      <w:r>
        <w:t xml:space="preserve">FRENCH REPUBLIC  </w:t>
        <w:br/>
        <w:t xml:space="preserve">Decision No. 11-DCC-209 of December 27, 2011  </w:t>
        <w:br/>
        <w:t xml:space="preserve">regarding the exclusive control by the company Schneider Electric  </w:t>
        <w:br/>
        <w:t xml:space="preserve">of assets of the company Alstom Grid SAS  </w:t>
        <w:br/>
        <w:t xml:space="preserve">The Competition Authority,  </w:t>
        <w:br/>
        <w:t xml:space="preserve">Having regard to the notification file submitted in full to the merger service on  </w:t>
        <w:br/>
        <w:t xml:space="preserve">November 24, 2011, concerning the exclusive control by the Schneider Electric group  </w:t>
        <w:br/>
        <w:t xml:space="preserve">of assets of the company Alstom Grid SAS, formalized by a draft contract for the transfer of  </w:t>
        <w:br/>
        <w:t xml:space="preserve">business dated November 2, 2011;  </w:t>
        <w:br/>
        <w:t xml:space="preserve">Having regard to Book IV of the Commercial Code relating to the freedom of prices and  </w:t>
        <w:br/>
        <w:t xml:space="preserve">competition, and in particular its Articles L. 430-1 to L. 430-10;  </w:t>
        <w:br/>
        <w:t xml:space="preserve">Having regard to the supplementary elements transmitted by the parties during the  </w:t>
        <w:br/>
        <w:t xml:space="preserve">investigation;  </w:t>
        <w:br/>
        <w:t xml:space="preserve">Adopts the following decision:  </w:t>
        <w:br/>
        <w:t xml:space="preserve">I. The companies concerned and the operation  </w:t>
        <w:br/>
        <w:t xml:space="preserve">1. The company Transformateurs SAS is controlled by the company Schneider Electric Industries  </w:t>
        <w:br/>
        <w:t xml:space="preserve">SAS, which is itself controlled by Schneider Electric SA, the parent holding of the Schneider group. The  </w:t>
        <w:br/>
        <w:t xml:space="preserve">Schneider group is active worldwide in the energy management sector through solutions, products, and  </w:t>
        <w:br/>
        <w:t xml:space="preserve">services in energy and infrastructure, industrial processes, building automation, data centers and  </w:t>
        <w:br/>
        <w:t xml:space="preserve">networks, and residential applications.  </w:t>
        <w:br/>
        <w:t xml:space="preserve">2. The company Alstom Grid SAS (hereinafter "Alstom Grid") is controlled by the company Alstom  </w:t>
        <w:br/>
        <w:t xml:space="preserve">Holdings SA, the parent holding of the Alstom group. Alstom Grid is present in the sector of the  </w:t>
        <w:br/>
        <w:t xml:space="preserve">production and marketing of energy transport equipment. It engages in the production of electrical  </w:t>
        <w:br/>
        <w:t xml:space="preserve">distribution transformers and traction transformers at its establishment in Petit-Quevilly.  </w:t>
        <w:br/>
        <w:t xml:space="preserve">3. Under a draft contract for the transfer of business dated November 2, 2011, the operation consists of  </w:t>
        <w:br/>
        <w:t xml:space="preserve">the takeover, by the company Transformateurs SAS, of the business of the Alstom Grid SAS establishment  </w:t>
        <w:br/>
        <w:t xml:space="preserve">located in Petit-Quevilly and specialized in the production and sale of electrical energy distribution  </w:t>
        <w:br/>
        <w:t xml:space="preserve">transformers. The transferred business consists of tangible elements (installations and equipment in  </w:t>
        <w:br/>
        <w:t xml:space="preserve">particular) and intangible elements (notably clientele and intangible rights such as administrative  </w:t>
        <w:br/>
        <w:t xml:space="preserve">authorizations or intellectual property rights). This operation constitutes a concentration within the  </w:t>
        <w:br/>
        <w:t xml:space="preserve">meaning of Article L. 430-1 of the Commercial Code.  </w:t>
        <w:br/>
        <w:t xml:space="preserve">4. The companies concerned have together achieved a consolidated worldwide turnover excluding taxes of  </w:t>
        <w:br/>
        <w:t xml:space="preserve">more than 150 million euros in the last closed financial year (the Schneider group: [...] billion euros for  </w:t>
        <w:br/>
        <w:t xml:space="preserve">the financial year ended December 31, 2010; the Alstom Grid establishment located in Petit-Quevilly: [...]  </w:t>
        <w:br/>
        <w:t xml:space="preserve">million euros for the same financial year). Each of these companies has achieved, in France, a turnover  </w:t>
        <w:br/>
        <w:t xml:space="preserve">exceeding 50 million euros in France (the Schneider group: [...] billion euros for the financial year ended  </w:t>
        <w:br/>
        <w:t xml:space="preserve">December 31, 2010; the Alstom Grid establishment located in Petit-Quevilly: [...] million euros for the same  </w:t>
        <w:br/>
        <w:t xml:space="preserve">financial year). Given these turnover figures, the operation does not have a community dimension.  </w:t>
        <w:br/>
        <w:t xml:space="preserve">However, the control thresholds mentioned in I of Article L. 430-2 of the Commercial Code are exceeded.  </w:t>
        <w:br/>
        <w:t xml:space="preserve">This operation is therefore subject to the provisions of Articles L. 430-3 and following of the Commercial  </w:t>
        <w:br/>
        <w:t xml:space="preserve">Code relating to economic concentration.  </w:t>
        <w:br/>
        <w:t xml:space="preserve">II. Definition of the relevant markets  </w:t>
        <w:br/>
        <w:t xml:space="preserve">A. PRODUCT MARKETS  </w:t>
        <w:br/>
        <w:t xml:space="preserve">5. Schneider and the establishment of the company Alstom Grid located in Petit-Quevilly are both active in  </w:t>
        <w:br/>
        <w:t xml:space="preserve">the energy transmission and distribution sector (hereinafter "T&amp;D"). In the context of this activity, the  </w:t>
        <w:br/>
        <w:t xml:space="preserve">parties manufacture and market electrical energy distribution transformers, or medium voltage transformers,  </w:t>
        <w:br/>
        <w:t xml:space="preserve">which are electrical components whose function is to reduce or increase the voltage in an electrical circuit.  </w:t>
        <w:br/>
        <w:t xml:space="preserve">Distribution transformers equip secondary substations, installed in residential and commercial areas,  </w:t>
        <w:br/>
        <w:t xml:space="preserve">which function to reduce the voltage of electricity, transported at medium voltage on distribution networks,  </w:t>
        <w:br/>
        <w:t xml:space="preserve">to a low voltage level (380 V), suitable for consumption.  </w:t>
        <w:br/>
        <w:t xml:space="preserve">6. Decision-making practice, while leaving the precise definition of the market open, has identified six  </w:t>
        <w:br/>
        <w:t xml:space="preserve">market segments within the sector of manufacturing energy transport and distribution equipment (hereinafter  </w:t>
        <w:br/>
        <w:t xml:space="preserve">"T&amp;D"): (i) high voltage products used for distribution networks operating at voltages between 52 kV and  </w:t>
        <w:br/>
        <w:t xml:space="preserve">800 kV, (ii) medium voltage products used for transport networks operating at voltages between 5 kV and  </w:t>
        <w:br/>
        <w:t xml:space="preserve">52 kV, (iii) power transformers, distribution transformers and traction transformers, (iv) automation and  </w:t>
        <w:br/>
        <w:t xml:space="preserve">information systems in the energy sector, (v) turnkey projects, and (vi) T&amp;D services such as asset  </w:t>
        <w:br/>
        <w:t xml:space="preserve">management and network planning services.  </w:t>
        <w:br/>
        <w:t xml:space="preserve">7. In this case, the activities of the parties only overlap in the transformer market, and more specifically in  </w:t>
        <w:br/>
        <w:t xml:space="preserve">the segment of distribution transformers.  </w:t>
        <w:br/>
        <w:t xml:space="preserve">8. Furthermore, Schneider is present in the market for products used in medium voltage networks. This  </w:t>
        <w:br/>
        <w:t xml:space="preserve">category covers a wide variety of products used for connections, measurements, controls, etc., in this type of  </w:t>
        <w:br/>
        <w:t xml:space="preserve">network. Decision-making practice has thus considered a segmentation of the medium voltage products  </w:t>
        <w:br/>
        <w:t xml:space="preserve">market by type of products. The segments concerned by the operation, in which Schneider is present, are in  </w:t>
        <w:br/>
        <w:t xml:space="preserve">this case those of the following products, which are part of the manufacturing of distribution transformers: i)  </w:t>
        <w:br/>
        <w:t xml:space="preserve">switchgear cells, ii) disconnect boxes, iii) control systems, iv) retention basins, and v) micro-fuse  </w:t>
        <w:br/>
        <w:t xml:space="preserve">assemblies.  </w:t>
        <w:br/>
        <w:t xml:space="preserve">9. In addition, Schneider also provides turnkey projects, which consist of integration and engineering  </w:t>
        <w:br/>
        <w:t xml:space="preserve">services that integrate several components to deliver a complete installation. These projects may thus include  </w:t>
        <w:br/>
        <w:t xml:space="preserve">the supply of distribution transformers.  </w:t>
        <w:br/>
        <w:t xml:space="preserve">10. The existence of potential horizontal effects in the market for the production and sale of distribution  </w:t>
        <w:br/>
        <w:t xml:space="preserve">transformers, and potential vertical effects between the market for the supply of components and the market for  </w:t>
        <w:br/>
        <w:t xml:space="preserve">the supply of transformers, first, and between the market for the supply of distribution transformers and the  </w:t>
        <w:br/>
        <w:t xml:space="preserve">market for the supply of turnkey projects, second, will be examined in the context of the competitive analysis.  </w:t>
        <w:br/>
        <w:t xml:space="preserve">11. In any case, the exact definition of the relevant product markets may remain open as, regardless of the  </w:t>
        <w:br/>
        <w:t xml:space="preserve">segmentation retained, the conclusions of the competitive analysis will remain unchanged.  </w:t>
        <w:br/>
        <w:t xml:space="preserve">B. GEOGRAPHICAL MARKETS  </w:t>
        <w:br/>
        <w:t xml:space="preserve">12. Decision-making practice has considered that the T&amp;D product markets are at least of European, if not  </w:t>
        <w:br/>
        <w:t xml:space="preserve">global, dimension.  </w:t>
        <w:br/>
        <w:t xml:space="preserve">13. The parties emphasized the likelihood that the markets for the production and sale of T&amp;D products  </w:t>
        <w:br/>
        <w:t xml:space="preserve">constitute global markets due to the absence of barriers to international trade flows, particularly regarding  </w:t>
        <w:br/>
        <w:t xml:space="preserve">technical specifications, due to the presence of major suppliers of T&amp;D products at the European and global  </w:t>
        <w:br/>
        <w:t xml:space="preserve">levels, relatively low transport costs, and the fact that customers source at the European or even global  </w:t>
        <w:br/>
        <w:t xml:space="preserve">level.  </w:t>
        <w:br/>
        <w:t xml:space="preserve">14. In any case, the precise geographical delimitation of the relevant markets may remain open as,  </w:t>
        <w:br/>
        <w:t xml:space="preserve">regardless of the delimitation retained, the conclusions of the competitive analysis will remain unchanged.  </w:t>
        <w:br/>
        <w:t xml:space="preserve">4 Traction transformers are transformers that equip trains and serve to adapt the voltage level of the  </w:t>
        <w:br/>
        <w:t xml:space="preserve">railway electrical network to supply energy to trains or subways.  </w:t>
        <w:br/>
        <w:t xml:space="preserve">5 See the aforementioned decision of the Competition Authority 10-DCC-100 and the decisions of the European  </w:t>
        <w:br/>
        <w:t>Commission M. 5755, M.3296, and M.3653.</w:t>
      </w:r>
    </w:p>
    <w:p>
      <w:r>
        <w:rPr>
          <w:b/>
        </w:rPr>
        <w:t>[Pages 4–6]</w:t>
      </w:r>
    </w:p>
    <w:p>
      <w:r>
        <w:t xml:space="preserve">III. Competitive Analysis  </w:t>
        <w:br/>
        <w:t xml:space="preserve">A. ANALYSIS OF HORIZONTAL EFFECTS  </w:t>
        <w:br/>
        <w:t>15. The market shares of the parties in the markets where their activities overlap are reproduced in the table below. These market shares were calculated by the parties based on available data, in value, for the year 2010.</w:t>
      </w:r>
    </w:p>
    <w:p>
      <w:r>
        <w:t xml:space="preserve">Establishment New Entity  </w:t>
        <w:br/>
        <w:t xml:space="preserve">Group  </w:t>
        <w:br/>
        <w:t xml:space="preserve">Relevant Markets Alstom Grid from to after  </w:t>
        <w:br/>
        <w:t xml:space="preserve">Schneider  </w:t>
        <w:br/>
        <w:t xml:space="preserve">Petit-Quevilly the operation  </w:t>
        <w:br/>
        <w:t xml:space="preserve">Market for [5-10]% [0-5]% [10-20]%  </w:t>
        <w:br/>
        <w:t xml:space="preserve">transformers  </w:t>
        <w:br/>
        <w:t xml:space="preserve">European  </w:t>
        <w:br/>
        <w:t xml:space="preserve">dimension  </w:t>
        <w:br/>
        <w:t xml:space="preserve">Market for [10-20]% [0-5]% [10-20]%  </w:t>
        <w:br/>
        <w:t xml:space="preserve">distribution  </w:t>
        <w:br/>
        <w:t xml:space="preserve">transformers  </w:t>
        <w:br/>
        <w:t xml:space="preserve">Market for [0-5]% [0-5]% [0-5]%  </w:t>
        <w:br/>
        <w:t xml:space="preserve">transformers  </w:t>
        <w:br/>
        <w:t xml:space="preserve">Global  </w:t>
        <w:br/>
        <w:t xml:space="preserve">dimension  </w:t>
        <w:br/>
        <w:t xml:space="preserve">Market for [5-10]% [0-5]% [5-10]%  </w:t>
        <w:br/>
        <w:t xml:space="preserve">distribution  </w:t>
        <w:br/>
        <w:t xml:space="preserve">transformers  </w:t>
        <w:br/>
        <w:t xml:space="preserve">16. At the European level, the parties will total after the operation a cumulative market share of [10-20]% in the transformer market and a market share of [10-20]% in the distribution transformer market.  </w:t>
        <w:br/>
        <w:t xml:space="preserve">17. At the global level, the cumulative market shares held by the parties will be lower and will amount to [0-5]% in the transformer market and [5-10]% in the distribution transformer market, with the increment in market shares resulting from the operation remaining minimal.  </w:t>
        <w:br/>
        <w:t xml:space="preserve">18. The new entity will face competition from numerous manufacturers, including ABB, which represents [10-20]% of global and European sales of transformers and respectively [10-20]% and [10-20]% of the global and European markets for distribution transformers; and Siemens, which represents [5-10]% of the global market and [10-20]% of the European market for transformers and, respectively, [5-10]% and [10-20]% of the global and European markets for distribution transformers.  </w:t>
        <w:br/>
        <w:t>19. Consequently, the operation is not likely to harm competition through horizontal effects.</w:t>
      </w:r>
    </w:p>
    <w:p>
      <w:r>
        <w:t xml:space="preserve">B. ANALYSIS OF VERTICAL EFFECTS  </w:t>
        <w:br/>
        <w:t xml:space="preserve">20. The Schneider group is present in the "upstream" market for the production and sale of medium voltage products, including components used in the manufacture of distribution transformers. Furthermore, the Schneider group is also present in the "downstream" market for the provision of turnkey projects, which may include the supply of distribution transformers.  </w:t>
        <w:br/>
        <w:t xml:space="preserve">21. It is therefore necessary to examine the potential vertical effects that the strengthening of the parties' position in the market for the production and sale of distribution transformers will entail. In this regard, it should be noted that the Competition Authority considers it unlikely that a company with a market share below 30% in a given market can lock in a downstream or upstream market.  </w:t>
        <w:br/>
        <w:t xml:space="preserve">22. However, the new entity represents only [10-20]% of the European market for the production and sale of distribution transformers, and [5-10]% of the global market.  </w:t>
        <w:br/>
        <w:t xml:space="preserve">23. Moreover, the activities of the Schneider group in the turnkey project market are too modest to raise a risk of vertical effect. Even though the parties did not provide overall market shares corresponding to their turnkey project supply activities, they specify that these are limited and represent in any case [0-5]% and [0-5]% in the European and global markets for medium voltage turnkey project supply.  </w:t>
        <w:br/>
        <w:t xml:space="preserve">24. Similarly, Schneider has communicated market shares corresponding to its activities in the production of components entering into the manufacture of distribution transformers, indicating that the group holds less than [0-5]% market share in this segment, both at the European and global levels. Furthermore, prior to the operation, the components of distribution transformers produced by Schneider are already sold almost exclusively to the Alstom Grid factory in Petit-Quevilly. Likewise, the Petit-Quevilly factory sources almost exclusively from Schneider for components. The operation is therefore not likely to present a risk of foreclosure, whether to the detriment of competing transformer manufacturers or to the detriment of competing component manufacturers.  </w:t>
        <w:br/>
        <w:t xml:space="preserve">25. Consequently, the operation is not likely to harm competition through vertical effects.  </w:t>
        <w:br/>
        <w:t xml:space="preserve">DECIDES  </w:t>
        <w:br/>
        <w:t xml:space="preserve">Single Article: The operation notified under number 11-135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