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https://www.autoritedelaconcurrence.fr/fr/decision-de-controle-des-concentrations/relative-la-prise-de-controle-exclusif-par-la-societe-20</w:t>
      </w:r>
    </w:p>
    <w:p>
      <w:r>
        <w:t>Pages translated : 8</w:t>
      </w:r>
    </w:p>
    <w:p/>
    <w:p>
      <w:r>
        <w:rPr>
          <w:b/>
        </w:rPr>
        <w:t>[Pages 1–3]</w:t>
      </w:r>
    </w:p>
    <w:p>
      <w:r>
        <w:t xml:space="preserve">FRENCH REPUBLIC  </w:t>
        <w:br/>
        <w:t xml:space="preserve">Decision No. 15-DCC-77 of June 23, 2015  </w:t>
        <w:br/>
        <w:t xml:space="preserve">regarding the exclusive control by the company LFPI  </w:t>
        <w:br/>
        <w:t xml:space="preserve">of the company LSF6/Alliance Holding SAS  </w:t>
        <w:br/>
        <w:t xml:space="preserve">The Competition Authority,  </w:t>
        <w:br/>
        <w:t xml:space="preserve">Having regard to the notification file submitted in full to the merger service on May 22, 2015,  </w:t>
        <w:br/>
        <w:t xml:space="preserve">regarding the exclusive control by the company LFPI of the company LSF6/Alliance,  </w:t>
        <w:br/>
        <w:t xml:space="preserve">formalized by an offer letter from LFPI to LSF6/Alliance dated May 22, 2015, as well as  </w:t>
        <w:br/>
        <w:t xml:space="preserve">by a draft Sale and Purchase Agreement (hereinafter, the "SPA");  </w:t>
        <w:br/>
        <w:t xml:space="preserve">Having regard to Book IV of the Commercial Code relating to price freedom and competition, and  </w:t>
        <w:br/>
        <w:t xml:space="preserve">notably its Articles L. 430-1 to L. 430-7;  </w:t>
        <w:br/>
        <w:t xml:space="preserve">Adopts the following decision:  </w:t>
        <w:br/>
        <w:t xml:space="preserve">I. The concerned companies and the transaction  </w:t>
        <w:br/>
        <w:t xml:space="preserve">1. La Financière Patrimoniale d’Investissement (hereinafter, "LFPI") is a simplified joint-stock company at the head of a group of companies whose purpose is to take stakes in new or existing companies, directly or indirectly, through venture capital funds and/or venture capital companies whose controlled companies manage. The capital of LFPI is distributed among institutional investors and private investors, none of whom exercise decisive influence. LFPI holds controlling stakes in companies active in numerous sectors, notably in the hotel sector through the companies Timhotel* and Lumhotel which manage hotel parks in the Paris region and in the provinces. It also acquired control of the company Ergalis Holding in 2014, active in the temporary work sector1.  </w:t>
        <w:br/>
        <w:t xml:space="preserve">1 Decision of the Competition Authority No. 14-DCC-151 of October 17, 2014, regarding the exclusive control of the company Ergalis Holding and its subsidiaries by LFPI.  </w:t>
        <w:br/>
        <w:t>* Correction of a material error.</w:t>
      </w:r>
    </w:p>
    <w:p>
      <w:r>
        <w:t xml:space="preserve">2. LSF6/Alliance Holding SAS2 (hereinafter, "LSF6/Alliance") is a private investment company under French law. It is owned by the Luxembourg law company LSF6 European Debt Accumulation and indirectly holds several subsidiaries constituting a portfolio of 12 hotels, either in its own name under the Alliance brand or as franchises under the brands Mercure, Ibis Styles, Best Western, Crowne Plaza*.  </w:t>
        <w:br/>
        <w:t xml:space="preserve">3. In accordance with the offer letter dated May 22, 2015, and the draft SPA, the notified transaction consists of the acquisition by LFPI of 100% of the capital and voting rights of the company LSF6/Alliance Holding SAS.  </w:t>
        <w:br/>
        <w:t xml:space="preserve">4. As it results in the exclusive control of the company LSF6/Alliance SAS by LFPI, the transaction constitutes a concentration within the meaning of Article L.430-1 of the Commercial Code.  </w:t>
        <w:br/>
        <w:t xml:space="preserve">5. The concerned companies together achieved a consolidated worldwide turnover excluding taxes of more than 150 million euros in the last closed financial year (LFPI: […] euros for the financial year ended December 31, 2013; LSF6/Alliance: […] euros for the same financial year). Each of these companies achieved, in France, a turnover exceeding 50 million euros (LFPI: […] euros for the financial year ended December 31, 2013; LSF6/Alliance: […] euros for the same financial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  </w:t>
        <w:br/>
        <w:t xml:space="preserve">II. Delimitation of the relevant markets  </w:t>
        <w:br/>
        <w:t xml:space="preserve">6. The parties to the transaction are simultaneously active in the hotel sector.  </w:t>
        <w:br/>
        <w:t xml:space="preserve">A. THE RELEVANT SERVICE MARKETS  </w:t>
        <w:br/>
        <w:t xml:space="preserve">1. THE REAL ESTATE SERVICES SECTOR  </w:t>
        <w:br/>
        <w:t xml:space="preserve">7. The decisional practice has considered, while leaving the question open, different segmentations in the real estate sector3 according to (i) the recipients of the services (individuals or businesses), (ii) the pricing method (free residential real estate, social housing or assisted intermediate housing), (iii) the type of activity carried out in the premises (offices, commercial premises, and other activity premises such as warehouses, hotels4), and (iv) the nature of the services or goods offered.  </w:t>
        <w:br/>
        <w:t xml:space="preserve">2 Formerly BRE / Europe France Hotel Holding 1, following a change of corporate name in 2014.  </w:t>
        <w:br/>
        <w:t xml:space="preserve">3 See notably the decisions of the Competition Authority No. 12-DCC-18 of February 13, 2012, No. 11-DCC-138 of September 30, 2011, and No. 10-DCC-13 of January 29, 2010, as well as the letter from the Minister of Economy, Industry and Employment C2008-79 of August 22, 2008. See also notably the decision of the European Commission COMP/M.3370 - BNP Paribas / ARI, of March 9, 2004.  </w:t>
        <w:br/>
        <w:t xml:space="preserve">4 See the decision of the European Commission COMP/M.2863 Morgan Stanley / Olivetti / Telecom Italia / Tiglio of August 30, 2002.  </w:t>
        <w:br/>
        <w:t>* Correction of a material error.</w:t>
      </w:r>
    </w:p>
    <w:p>
      <w:r>
        <w:t xml:space="preserve">8. For this last segmentation axis, the distinction was considered between:  </w:t>
        <w:br/>
        <w:t xml:space="preserve">- real estate development5 which includes construction and sale activities of real estate properties;  </w:t>
        <w:br/>
        <w:t xml:space="preserve">- real estate asset management for own account6;  </w:t>
        <w:br/>
        <w:t xml:space="preserve">- real estate asset management for third-party accounts (institutional investors, mainly banks and insurance companies);  </w:t>
        <w:br/>
        <w:t xml:space="preserve">- real estate property administration which covers property management activities on behalf of owners and can be segmented between rental management and co-ownership management;  </w:t>
        <w:br/>
        <w:t xml:space="preserve">- real estate appraisal;  </w:t>
        <w:br/>
        <w:t xml:space="preserve">- real estate consulting;  </w:t>
        <w:br/>
        <w:t xml:space="preserve">- intermediation in real estate transactions for which intermediation in purchase/sale operations is distinguished from intermediation in rental operations7.  </w:t>
        <w:br/>
        <w:t xml:space="preserve">9. In this case, the parties to the transaction are simultaneously active in the holding and management of hotels for their own account. The effects of the transaction will therefore be examined in the hotel markets. The question of the exact delimitation of the markets in the real estate sector may, however, be left open as the conclusions of the analysis would remain unchanged regardless of the solutions adopted.  </w:t>
        <w:br/>
        <w:t xml:space="preserve">2. THE HOTEL SECTOR  </w:t>
        <w:br/>
        <w:t xml:space="preserve">10. In the hotel sector, the decisional practice8 has considered several segmentations based on price and level of comfort, based on the classification or comfort level of establishments as well as the mode of operation9. In this regard, the decisional practice distinguishes between integrated hotel chains, voluntary chains, and independent hotels. The Authority in its decision No. 15-D-0610 of April 21, 2015, notes that "integrated hotel chains (Accor, B&amp;B Hotels, Louvre Hotel Group, etc.) account for about 20% of hotel establishments representing 40% of accommodation capacity, and voluntary chains (Best Western, Logis Hotel, etc.) 30% of establishments and 25% of accommodation capacity. The remaining 50% are independent hotels representing about 35% of accommodation capacities."  </w:t>
        <w:br/>
        <w:t xml:space="preserve">5 See the decision C2007-166 / Letter from the Minister of Economy, Finance and Employment of December 20, 2007, to the advisors of the Nexity group, regarding a concentration in the real estate development sector, B.O.C.C.R.F. No. 2 bis of February 28, 2008.  </w:t>
        <w:br/>
        <w:t xml:space="preserve">6 See the Perexia decision of the Minister of Economy of January 25, 2006, the decision of the Minister of Economy Lehman Brothers of May 10, 2007.  </w:t>
        <w:br/>
        <w:t xml:space="preserve">7 See the decision C2005-126 / Letter from the Minister of Economy, Finance and Industry of January 25, 2006, to the advisors of the company Perexia, regarding a concentration in the real estate services sector, B.O.C.C.R.F. No. 6 of June 21, 2006.  </w:t>
        <w:br/>
        <w:t xml:space="preserve">8 See the decisions C2007-90/Letter from the Minister of Economy, Finance and Employment of August 27, 2007, to the advisors of the Blackstone company, regarding a concentration in the hotel sector, published in BOCCRF No. 8 bis of October 26, 2007, C2007-63/Letter from the Minister of Economy, Finance and Employment of May 29, 2007, to the advisors of the Withehall 2005 investment fund regarding a concentration in the hotel sector, published in BOCCRF No. 6 bis of June 28, 2007,  </w:t>
        <w:br/>
        <w:t xml:space="preserve">9 See for example the decisions of the European Commission COMP/M.6058 – Bank of Scotland / Barclays Bank / Kew Green Hotels of February 2, 2011, COMP/M.3858 – Lehman Brothers / SCG / Starwood / Le Meridien of July 20, 2005, as well as COMP/M.1596 –Accor / Blackstone / Colony / Vivendi of September 8, 1999.  </w:t>
        <w:br/>
        <w:t>10 Decision of the Competition Authority No. 15-D-06 of April 21, 2015, on the practices implemented by the companies Booking.com B.V., Booking.com France SAS, and Booking.com Customer Service France SAS in the online hotel booking sector.</w:t>
      </w:r>
    </w:p>
    <w:p>
      <w:r>
        <w:rPr>
          <w:b/>
        </w:rPr>
        <w:t>[Pages 4–6]</w:t>
      </w:r>
    </w:p>
    <w:p>
      <w:r>
        <w:t>11. Regarding the distinction of hotel establishments based on the level of comfort, the decisional practice has considered several segmentation methods, while leaving the question open: grouping by pairs of stars (1-2 stars; 2-3 stars; 3-4 stars) or taking into account the immediately lower category and the immediately higher category (1-3 stars, 2-4 stars). The minister, for his part, considered distinguishing an economic category (1-3 stars) and a luxury hotel category (4 stars and above).</w:t>
      </w:r>
    </w:p>
    <w:p>
      <w:r>
        <w:t>12. In the case at hand, the 12 hotels owned by LSF6/Alliance belong to the following categories:</w:t>
        <w:br/>
        <w:t>- five hotels fall into the three-star hotel category: Alliance Hôtel Paris Place d’Italie, 178 Boulevard Vincent Auriol, 75 013 Paris; Alliance Hôtel Paris Porte de Saint Ouen, 9 rue Lafontaine, 93 400 Saint-Ouen; Ibis Styles Paris Roissy CDG, 2 avenue de la Raperie, 95 700 Roissy-en-France; Alliance Hôtel Paris Saint-Quentin-en-Yvelines, 3 rue Jean-Pierre Timbaud, 78 180 Montigny-le-Bretonneux; Best Western Roissy, 1 allée du Verger, 95 700 Roissy-en-France;</w:t>
        <w:br/>
        <w:t>- six hotels belong to the four-star hotel category: Mercure Paris La Villette, 216 avenue Jean Jaurès, 75019 Paris; Best Western Plus Orly, 4 avenue Charles Lindberg, 94 150 Rungis; Mercure Paris Vélizy, 22 avenue de l’Europe, 78 140 Vélizy Villacoublay; Mercure Strasbourg, 20 Place de Bordeaux, 67 000 Strasbourg; Alliance Pornic Thalassothérapie, rue de la Source le Clion, 44 210 Pornic; Alliance Hôtel Tours Centre, 15 rue Edouard Vaillant, 37 000 Tours;</w:t>
        <w:br/>
        <w:t>- finally, the hotel Crowne Plazza Toulouse, 7 place du Capitole, 31 000 Toulouse, belongs to the five-star hotel category.</w:t>
      </w:r>
    </w:p>
    <w:p>
      <w:r>
        <w:t>13. The parties to the transaction are both active in the three and four-star hotel sector. However, the question of the exact delineation of the markets in the real estate sector will be left open as the conclusions of the competitive analysis would remain unchanged regardless of the solutions adopted.</w:t>
      </w:r>
    </w:p>
    <w:p>
      <w:r>
        <w:t>B. GEOGRAPHICAL MARKETS</w:t>
        <w:br/>
        <w:t>1. THE REAL ESTATE SERVICES SECTOR</w:t>
        <w:br/>
        <w:t>14. The decisional practice has considered that the markets related to the real estate sector are generally of subnational dimension, while leaving the question open. It has also considered a delineation at the national level for the markets of real estate services intended for businesses when investment operations are carried out by large investors.</w:t>
      </w:r>
    </w:p>
    <w:p>
      <w:r>
        <w:t>15. Regarding Île-de-France, the decisional practice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w:t>
      </w:r>
    </w:p>
    <w:p>
      <w:r>
        <w:t>2. THE HOTEL SECTOR</w:t>
        <w:br/>
        <w:t>16. Competition authorities consider that the hotel market can be analyzed both at the national level, particularly for hotel chains, as the competitive conditions are homogeneous across the entire metropolitan territory, and at the local level, notably because the main selection criterion for the customer is the location of the establishment.</w:t>
      </w:r>
    </w:p>
    <w:p>
      <w:r>
        <w:t>17. In the case at hand, the 12 hotels owned by LSF6/Alliance are located in Paris, in the Paris region, in Pornic, in Strasbourg, in Toulouse, and in Tours.</w:t>
      </w:r>
    </w:p>
    <w:p>
      <w:r>
        <w:t>18. The transaction presents overlaps in activity in the Île-de-France region, particularly in Paris (75), in the departments of Yvelines (78) and Val-de-Marne (94), as well as in Tours (37). However, the question of the exact delineation of the geographical markets in the hotel sector can be left open as the conclusions of the competitive analysis would remain unchanged regardless of the delineation adopted.</w:t>
      </w:r>
    </w:p>
    <w:p>
      <w:r>
        <w:t>III. Competitive Analysis</w:t>
        <w:br/>
        <w:t>A. EFFECTS OF THE TRANSACTION AT THE NATIONAL LEVEL</w:t>
        <w:br/>
        <w:t>19. The notifying party provided an estimate of the market shares of the parties to the transaction in the national hotel market of all categories and then in the hotel chain market. Given the relevant activity overlaps, it also provided an estimate of market share in the national segment of three and four-star hotels, as well as in the three-star hotel segment on one hand and the four-star hotel segment on the other hand.</w:t>
      </w:r>
    </w:p>
    <w:p>
      <w:r>
        <w:t>20. The combined market shares of the parties are as follows:</w:t>
        <w:br/>
        <w:t>LFPI LSF6/Alliance New entity</w:t>
        <w:br/>
        <w:t>All category hotels [0-5] % [0-5] % [0-5] %</w:t>
        <w:br/>
        <w:t>Chain hotels [0-5] % [0-5] % [0-5] %</w:t>
        <w:br/>
        <w:t>Chain hotels 3 and 4* [0-5] % [0-5] % [0-5] %</w:t>
        <w:br/>
        <w:t>Chain hotels 3* [0-5] % [0-5] % [5-10] %</w:t>
        <w:br/>
        <w:t>Chain hotels 4* [5-10] % [0-5] % [5-10] %</w:t>
      </w:r>
    </w:p>
    <w:p>
      <w:r>
        <w:t>21. At the national level, the market share of the new entity will remain modest, whether in the segment of all category hotels, in the only potential segment of chain hotels, or in the segment of three and four-star hotels. It will continue to face competition from numerous hotels belonging to chains such as Accor, Louvre Hotels, Best Western, and B&amp;B Hotels, or independent hotels. Furthermore, the transaction results in a low increment of market share.</w:t>
      </w:r>
    </w:p>
    <w:p>
      <w:r>
        <w:t>22. In the potential segments of three and then four-star chain hotels, the new entity will hold a more significant market share but will still remain below [5-10]% and [5-10]%, respectively.</w:t>
      </w:r>
    </w:p>
    <w:p>
      <w:r>
        <w:t>B. EFFECTS OF THE TRANSACTION AT THE LOCAL LEVEL</w:t>
        <w:br/>
        <w:t>1. EFFECTS IN THE ÎLE-DE-FRANCE REGION</w:t>
        <w:br/>
        <w:t>23. In the Île-de-France region, LFPI owns 32 hotels, of which 19 are located in Paris (75), among which 18 belong to the three or four-star category. LSF6/Alliance owns 8 hotels in the three or four-star category, of which two are located in Paris (75), two in Yvelines (78), one in Seine-Saint-Denis (93), one in Val-de-Marne (94), and two in Val d’Oise (95). The transaction therefore results in overlaps in activity in Paris (75) and in the departments of Yvelines (78) and Val-de-Marne (94).</w:t>
      </w:r>
    </w:p>
    <w:p>
      <w:r>
        <w:t>24. The notifying party provided an estimate of the market shares of the new entity in the Île-de-France region, in Paris, and in Paris / Petite Couronne, as well as in each of the departments presenting an overlap in activity:</w:t>
        <w:br/>
        <w:t>LFPI LSF6 / Alliance New entity</w:t>
        <w:br/>
        <w:t>Île-de-France [0-5] % [0-5] % [0-5] %</w:t>
        <w:br/>
        <w:t>Île-de-France 3* [0-5] % [0-5] % [0-5] %</w:t>
        <w:br/>
        <w:t>Île-de-France 4* [0-5] % [0-5] % [0-5] %</w:t>
      </w:r>
    </w:p>
    <w:p>
      <w:r>
        <w:rPr>
          <w:b/>
        </w:rPr>
        <w:t>[Pages 7–8]</w:t>
      </w:r>
    </w:p>
    <w:p>
      <w:r>
        <w:t xml:space="preserve">LFPI LSF6 / Alliance New entity  </w:t>
        <w:br/>
        <w:t xml:space="preserve">Paris [0-5] % [0-5] % [0-5] %  </w:t>
        <w:br/>
        <w:t xml:space="preserve">Paris 3 and 4* [0-5] % [0-5] % [0-5] %  </w:t>
        <w:br/>
        <w:t xml:space="preserve">Paris 3* [0-5] % [0-5] % [0-5] %  </w:t>
        <w:br/>
        <w:t xml:space="preserve">Paris 4* [0-5] % [0-5] % [0-5] %  </w:t>
        <w:br/>
        <w:t xml:space="preserve">Paris and Petite Couronne22 3 and 4* [0-5] % [0-5] % [0-5] %  </w:t>
        <w:br/>
        <w:t xml:space="preserve">Val-de-Marne 3 and 4* [5-10] % [0-5] % [0-5] %  </w:t>
        <w:br/>
        <w:t xml:space="preserve">Yvelines 3 and 4* [0-5] % [5-10] % [5-10] %  </w:t>
        <w:br/>
        <w:t>Yvelines 3* [0-5] % [0-5] % [5-10] %</w:t>
      </w:r>
    </w:p>
    <w:p>
      <w:r>
        <w:t>25. In Paris and the Île-de-France region, the market share of the new entity will remain below [0-5] %, regardless of the hotel category considered. Furthermore, the transaction only results in a moderate increment in market share. In the departments of Yvelines (78) and Val-de-Marne (94), the market share of the new entity will be higher but will still remain below [5-10] %.</w:t>
      </w:r>
    </w:p>
    <w:p>
      <w:r>
        <w:t>2. EFFECTS IN TOURS</w:t>
      </w:r>
    </w:p>
    <w:p>
      <w:r>
        <w:t>26. In Tours, the acquirer controls a 3-star hotel, while the target holds a 4-star hotel there. Therefore, the transaction does not result in any overlap of activity in each of these categories. Within a segmentation considering all 3 and 4-star hotels in Tours, the combined market share of the parties is estimated at [20-30] % ([10-20] % for LFPI and [10-20] % for LSF6/Alliance). The entity resulting from the transaction will also face competition from Accor, Louvre Hotels, and Best Western.</w:t>
      </w:r>
    </w:p>
    <w:p>
      <w:r>
        <w:t>27. Consequently, the transaction is not likely to harm competition in the relevant markets of the hotel sector.</w:t>
      </w:r>
    </w:p>
    <w:p>
      <w:r>
        <w:t>22 Including the departments of Hauts-de-Seine (92), Seine-Saint-Denis (93), and Val-de-Marne (94).</w:t>
      </w:r>
    </w:p>
    <w:p>
      <w:r>
        <w:t xml:space="preserve">DECIDES  </w:t>
        <w:br/>
        <w:t xml:space="preserve">Single Article: The transaction notified under number 15-070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