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https://www.autoritedelaconcurrence.fr/fr/decision-de-controle-des-concentrations/relative-la-prise-de-controle-exclusif-par-la-societe-21-0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17-DCC-46 of April 18, 2017  </w:t>
        <w:br/>
        <w:t xml:space="preserve">regarding the exclusive control acquisition by the company 21 Centrale  </w:t>
        <w:br/>
        <w:t xml:space="preserve">Partners of the DL Software group  </w:t>
        <w:br/>
        <w:t xml:space="preserve">The Competition Authority,  </w:t>
        <w:br/>
        <w:t xml:space="preserve">Having regard to the complete notification file sent to the mergers department on March 28, 2017  </w:t>
        <w:br/>
        <w:t xml:space="preserve">concerning the exclusive control acquisition of the DL Software group, through the indirect acquisition of the  </w:t>
        <w:br/>
        <w:t xml:space="preserve">entire share capital of the companies Phoenix, DL Invest, Refilease and 84.33% of the share capital  </w:t>
        <w:br/>
        <w:t xml:space="preserve">of the company DL Software, by the company 21 Centrale Partners acting on behalf of the  </w:t>
        <w:br/>
        <w:t xml:space="preserve">FPCI 21 Centrale Partners V fund, formalized by a share purchase agreement dated February 21,  </w:t>
        <w:br/>
        <w:t xml:space="preserve">2017;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exclusive control acquisition by the company 21 Capitale Partners,  </w:t>
        <w:br/>
        <w:t xml:space="preserve">active in the private equity sector, of the DL Software group, active in the information technology services  </w:t>
        <w:br/>
        <w:t xml:space="preserve">and data storage solutions sector. It constitutes a concentration operation within the meaning of Article L. 430-1  </w:t>
        <w:br/>
        <w:t xml:space="preserve">of the Commercial Code. Given the turnover achieved by the companies concerned, the operation does not fall  </w:t>
        <w:br/>
        <w:t xml:space="preserve">under the jurisdiction of the European Union. On the other hand, the control thresholds mentioned in point I  </w:t>
        <w:br/>
        <w:t xml:space="preserve">of Article L. 430-2 of the Commercial Code are exceeded. This operation is therefore subject to the provisions  </w:t>
        <w:br/>
        <w:t xml:space="preserve">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17-037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