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https://www.autoritedelaconcurrence.fr/fr/decision-de-controle-des-concentrations/relative-la-prise-de-controle-exclusif-par-la-societe-21-1</w:t>
      </w:r>
    </w:p>
    <w:p>
      <w:r>
        <w:t>Pages translated : 2</w:t>
      </w:r>
    </w:p>
    <w:p/>
    <w:p>
      <w:r>
        <w:rPr>
          <w:b/>
        </w:rPr>
        <w:t>[Pages 1–2]</w:t>
      </w:r>
    </w:p>
    <w:p>
      <w:r>
        <w:t xml:space="preserve">FRENCH REPUBLIC  </w:t>
        <w:br/>
        <w:t xml:space="preserve">Decision No. 19-DCC-80 of April 26, 2019  </w:t>
        <w:br/>
        <w:t xml:space="preserve">regarding the exclusive control acquisition by the company 21 Centrale  </w:t>
        <w:br/>
        <w:t xml:space="preserve">Partners of the Léon Vincent Overseas group  </w:t>
        <w:br/>
        <w:t xml:space="preserve">The Competition Authority,  </w:t>
        <w:br/>
        <w:t xml:space="preserve">Having regard to the complete notification file sent to the mergers department on April 3, 2019,  </w:t>
        <w:br/>
        <w:t xml:space="preserve">concerning the exclusive control acquisition by an investment fund controlled by the management company 21 Centrale Partners of the company Financière LVO and its direct and indirect subsidiaries (Léon Vincent Overseas group), and formalized by a purchase promise and a transfer protocol dated March 14, 2019;  </w:t>
        <w:br/>
        <w:t xml:space="preserve">Having regard to Book IV of the Commercial Code relating to the freedom of prices and competition, and in particular its Articles L. 430-1 to L. 430-7;  </w:t>
        <w:br/>
        <w:t xml:space="preserve">Having regard to the elements transmitted by the notifying party during the investigation;  </w:t>
        <w:br/>
        <w:t xml:space="preserve">Adopts the following decision:  </w:t>
        <w:br/>
        <w:t xml:space="preserve">1. The notified operation consists of the exclusive control acquisition by a fund controlled by the company 21 Centrale Partners of the company Financière LVO and its direct and indirect subsidiaries which together form the Léon Vincent Overseas group.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transport commissioning, which are consistently defined by the decision-making practice of the competition authorities.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19-094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