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https://www.autoritedelaconcurrence.fr/fr/decision-de-controle-des-concentrations/relative-la-prise-de-controle-exclusif-par-la-societe-21</w:t>
      </w:r>
    </w:p>
    <w:p>
      <w:r>
        <w:t>Pages translated : 2</w:t>
      </w:r>
    </w:p>
    <w:p/>
    <w:p>
      <w:r>
        <w:rPr>
          <w:b/>
        </w:rPr>
        <w:t>[Pages 1–2]</w:t>
      </w:r>
    </w:p>
    <w:p>
      <w:r>
        <w:t xml:space="preserve">FRENCH REPUBLIC  </w:t>
        <w:br/>
        <w:t xml:space="preserve">Decision No. 16-DCC-123 of August 23, 2016  </w:t>
        <w:br/>
        <w:t xml:space="preserve">regarding the exclusive control acquisition by the company Holding Toys  </w:t>
        <w:br/>
        <w:t xml:space="preserve">Investments of the company Manor Automotive Group France  </w:t>
        <w:br/>
        <w:t xml:space="preserve">The Competition Authority,  </w:t>
        <w:br/>
        <w:t xml:space="preserve">Having regard to the notification file sent to the mergers department on June 29, 2016, and declared complete on July 22, 2016, concerning the exclusive control acquisition by the company Holding Toys Investments of the company Manor Automotive Group France, materialized by a firm and irrevocable acquisition offer dated June 20, 2016;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Holding Toys Investments of the company Manor Automotive Group France, operating Toyota brand car dealerships in the departments of Seine-Maritime (76), Eure (27), and Nord (59). 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16-121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