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https://www.autoritedelaconcurrence.fr/fr/decision-de-controle-des-concentrations/relative-la-prise-de-controle-exclusif-par-la-societe-22</w:t>
      </w:r>
    </w:p>
    <w:p>
      <w:r>
        <w:t>Pages translated : 2</w:t>
      </w:r>
    </w:p>
    <w:p/>
    <w:p>
      <w:r>
        <w:rPr>
          <w:b/>
        </w:rPr>
        <w:t>[Pages 1–2]</w:t>
      </w:r>
    </w:p>
    <w:p>
      <w:r>
        <w:t xml:space="preserve">FRENCH REPUBLIC  </w:t>
        <w:br/>
        <w:t xml:space="preserve">Decision No. 16-DCC-140 of August 30, 2016  </w:t>
        <w:br/>
        <w:t xml:space="preserve">regarding the exclusive control acquisition by Macquarie of the Pisto group  </w:t>
        <w:br/>
        <w:t xml:space="preserve">The Competition Authority,  </w:t>
        <w:br/>
        <w:t xml:space="preserve">Having regard to the complete notification file sent to the mergers department on July 29, 2016, concerning the acquisition of the Pisto group by Macquarie, formalized by a share purchase agreement dated June 29, 2016, and a share transfer contract dated June 30, 2016;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acquisition by Macquarie of exclusive control of the Pisto group, which is active in the hydrocarbons sector in France.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 xml:space="preserve">DECIDES  </w:t>
        <w:br/>
        <w:t>Sole Article: The operation notified under number 16-135 is authorized.</w:t>
      </w:r>
    </w:p>
    <w:p>
      <w: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