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https://www.autoritedelaconcurrence.fr/fr/decision-de-controle-des-concentrations/relative-la-prise-de-controle-exclusif-par-la-societe-23</w:t>
      </w:r>
    </w:p>
    <w:p>
      <w:r>
        <w:t>Pages translated : 2</w:t>
      </w:r>
    </w:p>
    <w:p/>
    <w:p>
      <w:r>
        <w:rPr>
          <w:b/>
        </w:rPr>
        <w:t>[Pages 1–2]</w:t>
      </w:r>
    </w:p>
    <w:p>
      <w:r>
        <w:t xml:space="preserve">FRENCH REPUBLIC  </w:t>
        <w:br/>
        <w:t xml:space="preserve">Decision No. 16-DCC-173 of November 16, 2016  </w:t>
        <w:br/>
        <w:t xml:space="preserve">regarding the exclusive control acquisition by the company Gexxia of the companies  </w:t>
        <w:br/>
        <w:t xml:space="preserve">Auto Concept 45, Garage Saint Christophe, and Montaigne Automobiles  </w:t>
        <w:br/>
        <w:t xml:space="preserve">The Competition Authority,  </w:t>
        <w:br/>
        <w:t xml:space="preserve">Having regard to the complete notification file sent to the mergers department on October 14, 2016,  </w:t>
        <w:br/>
        <w:t xml:space="preserve">concerning the exclusive control acquisition by the company Gexxia of the companies Auto Concept 45, Garage Saint Christophe, and Montaigne Automobiles, formalized by a share transfer agreement dated June 3, 2016;  </w:t>
        <w:br/>
        <w:t xml:space="preserve">Having regard to Book IV of the Commercial Code relating to the freedom of prices and competition, and in particular its Articles L. 430-1 to L. 430-7;  </w:t>
        <w:br/>
        <w:t xml:space="preserve">Adopts the following decision:  </w:t>
        <w:br/>
        <w:t xml:space="preserve">1. The notified transaction consists of the acquisition by the company Gexxia of exclusive control of the companies Auto Concept 45, Garage Saint Christophe, and Montaigne Automobiles, which are active in the sector of distribution and repair of vehicles of the brands Volkswagen, Audi, Skoda, and Seat in the departments of Allier (03), Creuse (23), Indre (36), and Loiret (45). This transaction constitutes a concentration operation within the meaning of Article L. 430-1 of the Commercial Code. Given the turnover achieved by the companies concerned, the transaction does not fall under the jurisdiction of the European Union. On the other hand, the retail trade control thresholds mentioned in point II of Article L. 430-2 of the Commercial Code are exceeded. This transaction is therefore subject to the provisions of Articles L. 430-3 and following of the Commercial Code relating to economic concentration.  </w:t>
        <w:br/>
        <w:t>2. In light of the elements of the file, the transaction is not likely to harm competition in the relevant markets.</w:t>
      </w:r>
    </w:p>
    <w:p>
      <w:r>
        <w:t xml:space="preserve">DECIDES  </w:t>
        <w:br/>
        <w:t xml:space="preserve">Sole Article: The notified transaction under number 16-209 is authorized.  </w:t>
        <w:br/>
        <w:t xml:space="preserve">The President,  </w:t>
        <w:br/>
        <w:t xml:space="preserve">Isabelle de Silva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