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https://www.autoritedelaconcurrence.fr/fr/decision-de-controle-des-concentrations/relative-la-prise-de-controle-exclusif-par-la-societe-24</w:t>
      </w:r>
    </w:p>
    <w:p>
      <w:r>
        <w:t>Pages translated : 4</w:t>
      </w:r>
    </w:p>
    <w:p/>
    <w:p>
      <w:r>
        <w:rPr>
          <w:b/>
        </w:rPr>
        <w:t>[Pages 1–3]</w:t>
      </w:r>
    </w:p>
    <w:p>
      <w:r>
        <w:t xml:space="preserve">FRENCH REPUBLIC  </w:t>
        <w:br/>
        <w:t xml:space="preserve">Decision No. 16-DCC-184 of November 28, 2016  </w:t>
        <w:br/>
        <w:t xml:space="preserve">regarding the exclusive control by the company Caravelle  </w:t>
        <w:br/>
        <w:t>of the company SAS Santoline</w:t>
      </w:r>
    </w:p>
    <w:p>
      <w:r>
        <w:t xml:space="preserve">The Competition Authority,  </w:t>
        <w:br/>
        <w:t xml:space="preserve">Having regard to the notification file submitted in full to the merger service on October 21, 2016, regarding the exclusive control by the company Caravelle of the company SAS Santoline, formalized by a share transfer agreement dated November 18, 2016;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Caravelle is a holding company controlled by Ms. Hélène Martel-Massignac and members of her family, via the company PH Finances*. Caravelle is active in the sectors of hospitality and industrial bodywork. In the hospitality sector, Caravelle holds joint control of Belambra, the target of the present operation, alongside the Caisse des Dépôts et Consignations (hereinafter, "CDC")1. It also holds exclusive control of Cimes Exploitation, which owns six club hotels in the Alps, four of which are operated by Belambra.  </w:t>
        <w:br/>
        <w:t xml:space="preserve">2. The Belambra group (hereinafter, "Belambra") is active in the leisure tourism sector and operates tourist residences, club villages, as well as hotels to a lesser extent. Belambra markets 42 club villages, five residences, and seven hotels.  </w:t>
        <w:br/>
        <w:t xml:space="preserve">1 Decision of the Competition Authority No. 14-DCC-06 of January 15, 2014, regarding the joint control of the Belambra group by the company Caravelle alongside the Caisse des Dépôts et Consignations.  </w:t>
        <w:br/>
        <w:t>* Correction of a material error.</w:t>
      </w:r>
    </w:p>
    <w:p>
      <w:r>
        <w:t xml:space="preserve">Prior to the present operation, Belambra is jointly controlled by Caravelle and the CDC.  </w:t>
        <w:br/>
        <w:t xml:space="preserve">3. Under the terms of a share transfer agreement, Caravelle will acquire 33.87% of the capital and voting rights of the company SAS Santoline, which are currently held by the CDC. Upon completion of the operation, Caravelle, along with its executives and employees, will hold, directly and indirectly, 100% of the capital and voting rights of Belambra.  </w:t>
        <w:br/>
        <w:t xml:space="preserve">4. As it results in the exclusive control by Caravelle of Santoline and, consequently, of the Belambra group, the operation constitutes a concentration within the meaning of Article L. 430-1 of the Commercial Code.  </w:t>
        <w:br/>
        <w:t>5. The companies concerned have together achieved a consolidated worldwide turnover, excluding taxes, of more than 150 million euros during the last closed financial year (Caravelle: […] euros for the financial year ending December 31, 2015; Belambra: […] euros for the same financial year). Each of these companies has achieved in France a turnover excluding taxes exceeding 50 million euros (Caravelle: […] euros for the financial year ending December 31, 2015; Belambra: […] euros for the same financial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are simultaneously active in the hospitality sector2.  </w:t>
        <w:br/>
        <w:t xml:space="preserve">A. SERVICE MARKETS  </w:t>
        <w:br/>
        <w:t xml:space="preserve">7. The decisional practice3 has considered several segmentations based on price and level of comfort, based on the classification or comfort level of establishments as well as the mode of operation4. In this regard, the decisional practice distinguishes between integrated hotel chains, voluntary chains, and independent hotels.  </w:t>
        <w:br/>
        <w:t xml:space="preserve">2 In its decisional practice, the Authority has considered that tourist residences and hotels should be distinguished as competition between these two modes of accommodation primarily occurs for short stays. See, for example, the Authority's decision No. 14-DCC-82 of June 12, 2014, regarding the joint control of the Park&amp;Suites group and the GMI group by the M Finance group and the investment fund Equistone. The analysis conducted is transposable to club villages that offer either a service comparable to that of tourist residences or to holiday clubs that are primarily distinguished by the existence of collective catering services, the provision of a very wide range of services, and a pricing mode not by accommodation but per person (all-inclusive package).  </w:t>
        <w:br/>
        <w:t xml:space="preserve">3 See decisions C2007-90/Letter from the Minister of Economy, Finance and Employment of August 27, 2007, to the board of the Blackstone company, regarding a concentration in the hospitality sector, published in BOCCRF No. 8 bis of October 26, 2007, C2007-63/Letter from the Minister of Economy, Finance and Employment of May 29, 2007, to the advisors of the investment fund Whitehall 2005 regarding a concentration in the hospitality sector, published in BOCCRF No. 6 bis of June 28, 2007,  </w:t>
        <w:br/>
        <w:t>4 See, for example, the decisions of the European Commission COMP/M.6058 – Bank of Scotland / Barclays Bank / Kew Green Hotels of February 2, 2011, COMP/M.3858 – Lehman Brothers / SCG / Starwood / Le Meridien of July 20, 2005 as well as COMP/M.1596 – Accor / Blackstone / Colony / Vivendi of September 8, 1999.</w:t>
      </w:r>
    </w:p>
    <w:p>
      <w:r>
        <w:t xml:space="preserve">8. Regarding the distinction of hotel establishments based on the level of comfort, the decisional practice5 has considered several segmentation methods, while leaving the question open: grouping by pairs of stars (1-2 stars; 2-3 stars; 3-4 stars) or taking into account the immediately lower and immediately higher category (1-3 stars, 2-4 stars). The decisional practice has also considered distinguishing an economic category (1-3 stars) and a luxury hotel category (4 stars and above).  </w:t>
        <w:br/>
        <w:t xml:space="preserve">9. In the case at hand, the seven hotels owned by Belambra belong to the following categories:  </w:t>
        <w:br/>
        <w:t xml:space="preserve">- two hotels fall into the two-star hotel category: "Le Magendie" in Paris (75013) and "L'Orée des Pistes" in Les Deux-Alpes (38);  </w:t>
        <w:br/>
        <w:t xml:space="preserve">- four hotels belong to the three-star hotel category: "Le Villemanzy" in Lyon (69), "Le Normont" in Dourdan (91), "Le Grand Hôtel de la Mer" in Morgat (29) and "L'Arena Bianca" in Propriano (2A);  </w:t>
        <w:br/>
        <w:t xml:space="preserve">- finally, one unclassified hotel, "Le Vendôme," in Menton in the Alpes-Maritimes (06).  </w:t>
        <w:br/>
        <w:t xml:space="preserve">10. Caravelle operates three hotels: two belonging to the four-star hotel category, the castle "Audrieu" in Audrieu in Calvados (14) and "L'Atmosphères" in Paris (75005), and one hotel belonging to the five-star hotel category, "Le Cinq Codet" in Paris (75007).  </w:t>
        <w:br/>
        <w:t xml:space="preserve">11. The question of the exact delimitation of the hospitality sector can, however, be left open as the conclusions of the competitive analysis remain unchanged regardless of the segmentations retained.  </w:t>
        <w:br/>
        <w:t xml:space="preserve">B. GEOGRAPHICAL MARKETS  </w:t>
        <w:br/>
        <w:t xml:space="preserve">12. Competition authorities consider that the hotel market can be analyzed both at the national level, particularly for hotel chains, as the competitive conditions are homogeneous across the entire metropolitan territory, and at the local level, notably because the main selection criterion for the customer is the location of the establishment6.  </w:t>
        <w:br/>
        <w:t xml:space="preserve">13. In the case at hand, the operation presents overlaps in activity between the parties, at the local level, only in Paris.  </w:t>
        <w:br/>
        <w:t xml:space="preserve">14. The question of the exact delimitation of geographical markets can, however, be left open as the conclusions of the competitive analysis remain unchanged regardless of the delimitation retained.  </w:t>
        <w:br/>
        <w:t xml:space="preserve">5 Decisions of the Commission M.2197 Hilton/Accor/Forte/Travel Service JV of February 16, 2001; M. 2997 Accor/Erbetz/Dirint of December 23, 2002; letter from the Minister of Economy, Finance and Employment No. C2007-90 / of August 27, 2007, to the board of the Blackstone company, regarding a concentration in the hospitality sector as well as the decisions of the Competition Authority No. 15-DCC-77 of June 23, 2015, regarding the exclusive control by the company LFPI of the company LSF6/Alliance Holding SAS and No. 14-DCC-82 of June 12, 2014, regarding the joint control of the Park&amp;Suites group and the GMI group by the M Finance group and the investment fund Equistone.  </w:t>
        <w:br/>
        <w:t>6 See the aforementioned decisions.</w:t>
      </w:r>
    </w:p>
    <w:p>
      <w:r>
        <w:rPr>
          <w:b/>
        </w:rPr>
        <w:t>[Pages 4–4]</w:t>
      </w:r>
    </w:p>
    <w:p>
      <w:r>
        <w:t xml:space="preserve">III. Competitive Analysis  </w:t>
        <w:br/>
        <w:t xml:space="preserve">15. At the national level, the new entity will operate ten hotels, representing a negligible overall market share, well below 1%. In the segment of 3 and 4-star hotels, the new entity will operate five hotels, also representing a negligible market share (on the order of [0-5]%).  </w:t>
        <w:br/>
        <w:t xml:space="preserve">16. At the local level in Paris, the new entity will operate three hotels, representing an estimated market share of [0-5]%. Furthermore, the operation will not result in any overlap of activities between the parties in Paris when considering the segmentations retained by the decisional practice based on the category of the hotels concerned.  </w:t>
        <w:br/>
        <w:t xml:space="preserve">17. Moreover, regardless of the market segments studied, the new entity will continue to face numerous hotels, particularly belonging to major chains such as Accor, Louvre Hotels, Best Western, and B&amp;B Hotels, or to independents.  </w:t>
        <w:br/>
        <w:t xml:space="preserve">18. Consequently, the operation is not likely to harm competition in the relevant markets of the hotel sector.  </w:t>
        <w:br/>
        <w:t xml:space="preserve">DECIDES  </w:t>
        <w:br/>
        <w:t xml:space="preserve">Sole Article: The operation notified under number 16-206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