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https://www.autoritedelaconcurrence.fr/fr/decision-de-controle-des-concentrations/relative-la-prise-de-controle-exclusif-par-la-societe-25</w:t>
      </w:r>
    </w:p>
    <w:p>
      <w:r>
        <w:t>Pages translated : 2</w:t>
      </w:r>
    </w:p>
    <w:p/>
    <w:p>
      <w:r>
        <w:rPr>
          <w:b/>
        </w:rPr>
        <w:t>[Pages 1–2]</w:t>
      </w:r>
    </w:p>
    <w:p>
      <w:r>
        <w:t xml:space="preserve">FRENCH REPUBLIC  </w:t>
        <w:br/>
        <w:t xml:space="preserve">Decision No. 16-DCC-192 of November 29, 2016  </w:t>
        <w:br/>
        <w:t xml:space="preserve">regarding the exclusive control acquisition by the company Courtoise Distribution Auto of the company Centrauto  </w:t>
        <w:br/>
        <w:t xml:space="preserve">The Competition Authority,  </w:t>
        <w:br/>
        <w:t xml:space="preserve">Having regard to the complete notification file sent to the mergers department on October 26, 2016, concerning the exclusive control acquisition by the company Courtoise Distribution Auto of the company Centrauto, formalized by a synallagmatic promise of transfer dated October 24,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Courtoise Distribution Auto of the company Centrauto, which is active in the sector of distribution and repair of Citroën brand motor vehicles in the Val d’Oise department (95).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16-221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