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https://www.autoritedelaconcurrence.fr/fr/decision-de-controle-des-concentrations/relative-la-prise-de-controle-exclusif-par-la-societe-28</w:t>
      </w:r>
    </w:p>
    <w:p>
      <w:r>
        <w:t>Pages translated : 2</w:t>
      </w:r>
    </w:p>
    <w:p/>
    <w:p>
      <w:r>
        <w:rPr>
          <w:b/>
        </w:rPr>
        <w:t>[Pages 1–2]</w:t>
      </w:r>
    </w:p>
    <w:p>
      <w:r>
        <w:t xml:space="preserve">FRENCH REPUBLIC  </w:t>
        <w:br/>
        <w:t xml:space="preserve">Decision No. 16-DCC-93 of June 23, 2016  </w:t>
        <w:br/>
        <w:t xml:space="preserve">regarding the exclusive control acquisition by Renault Retail Group of Gardanne Automobiles  </w:t>
        <w:br/>
        <w:t xml:space="preserve">The Competition Authority,  </w:t>
        <w:br/>
        <w:t xml:space="preserve">Having regard to the notification file sent to the mergers department on May 26, 2016, and declared complete on June 17, 2016, concerning the acquisition of Gardanne Automobiles by Renault Retail Group, formalized by a share transfer deed dated May 18,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Renault Retail Group, a subsidiary of the Renault group, of exclusive control of Gardanne Automobiles, which operates car dealerships for Renault and Dacia brands in the Bouches-du-Rhône department.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16-069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