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https://www.autoritedelaconcurrence.fr/fr/decision-de-controle-des-concentrations/relative-la-prise-de-controle-exclusif-par-la-societe-29</w:t>
      </w:r>
    </w:p>
    <w:p>
      <w:r>
        <w:t>Pages translated : 7</w:t>
      </w:r>
    </w:p>
    <w:p/>
    <w:p>
      <w:r>
        <w:rPr>
          <w:b/>
        </w:rPr>
        <w:t>[Pages 1–3]</w:t>
      </w:r>
    </w:p>
    <w:p>
      <w:r>
        <w:t xml:space="preserve">FRENCH REPUBLIC  </w:t>
        <w:br/>
        <w:t xml:space="preserve">Decision No. 17-DCC-29 of March 3, 2017  </w:t>
        <w:br/>
        <w:t>regarding the exclusive control by Endemol Shine OpCo Holding B.V. of Shine France</w:t>
      </w:r>
    </w:p>
    <w:p>
      <w:r>
        <w:t xml:space="preserve">The Competition Authority,  </w:t>
        <w:br/>
        <w:t xml:space="preserve">Having regard to the notification file submitted in full to the concentrations service on February 2, 2017, regarding the exclusive control of Shine France by Endemol Shine OpCo Holding B.V., formalized by a share transfer agreement dated October 21,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Endemol Shine OpCo Holding B.V. (hereinafter, "Endemol Shine") is jointly controlled by Twenty-First Century Fox, Inc. (hereinafter, "21st Century Fox") and Apollo Management, L.P., which manages several investment funds (hereinafter, "Apollo Management Group, L.P.").  </w:t>
        <w:br/>
        <w:t xml:space="preserve">2. The Endemol Shine group is active in the production and distribution of audiovisual programs across various types of platforms and in more than 30 countries. In France, it is present through its subsidiary Endemol France SAS and the company Shine France SAS, which it jointly controls with Balestra. Endemol France SAS is active in the production and distribution of audiovisual programs through its subsidiaries Endemol Fiction SAS, Endemol Productions SAS, In The Target SAS. It is also active in the digital production sector of audiovisual content (Endemol Beyond SAS) and in the modeling sector (Talent LAB SAS).  </w:t>
        <w:br/>
        <w:t xml:space="preserve">3. 21st Century Fox is a group active in the media sector. In France, it is active in the production and distribution of cinematic, audiovisual, and home entertainment content through its subsidiaries 20th Century Fox and Fox Networks Group and the Endemol Shine group. It is also active in France in the publishing and commercialization of pay television channels (National Geographic Channel, NatGeo Wild, Voyage, Fox News, and Baby TV) and in the commercialization of advertising spaces on these channels.  </w:t>
        <w:br/>
        <w:t xml:space="preserve">4. Shine France SAS is active in the production and distribution of audiovisual rights intended primarily for television, notably in France and for French-speaking markets (Belgium, Switzerland, Quebec, Tunisia, Algeria, and Morocco) through its six subsidiaries (Shine France Magazine et Documentaire SAS, Shine France TV du Réel, Shine Divertissement SAS, Shine France 360 SAS, Presse &amp; Co SAS, Shine France Films SAS).  </w:t>
        <w:br/>
        <w:t xml:space="preserve">5. The contemplated transaction, formalized by a share transfer agreement dated October 21, 2016, consists of the acquisition of the 49.9% stake of Balestra in the capital of Shine France by Endemol Shine. Following the transaction, Endemol Shine will thus hold the entirety of the capital of Shine France.  </w:t>
        <w:br/>
        <w:t xml:space="preserve">6. Insofar as it results in the exclusive control of Shine France by the Endemol Shine group, the notified operation constitutes a concentration operation within the meaning of Article L. 430-1 of the Commercial Code.  </w:t>
        <w:br/>
        <w:t>7. The concerned companies together achieve a total worldwide turnover of more than 150 million euros (Endemol Shine group: […] euros for the fiscal year ending December 31, 2015; Shine France: […] euros for the same fiscal year). Each of these companies has achieved a turnover in France exceeding 50 million euros (Endemol Shine group: […] euros for the fiscal year ending December 31, 2015; Shine France: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8. Audiovisual content intended for television broadcasting includes heterogeneous products, such as films, TV films, documentaries, game shows, entertainment shows, studio shows, sports events, etc. In the upstream markets for acquiring broadcasting rights, decisional practice makes an initial distinction based on the nature of the programs (rights concerning cinematic works and television series, sports rights, and rights relating to other audiovisual programs). Regarding the upstream markets for acquiring other audiovisual programs, it considers, in particular, that so-called stock programs (rights concerning fictions, documentaries, or animations, excluding cinema films or recent American series) as well as so-called flow programs (rights concerning news programs, magazines, variety shows, or studio shows) constitute two distinct relevant markets (1). Decisional practice has also considered segmenting these upstream markets based on whether the programs are original programs or catalog programs (2) and based on the type of content distribution, linear (television services delivered for simultaneous viewing of programs based on a program schedule) or non-linear (television services delivered for on-demand viewing of programs by the user) (3).</w:t>
      </w:r>
    </w:p>
    <w:p>
      <w:r>
        <w:t>9. In this case, the parties are simultaneously active upstream in the markets for broadcasting rights of other television programs, where they operate as sellers. In these markets, 21st Century Fox also operates as a buyer for the needs of its channel publishing activity.</w:t>
      </w:r>
    </w:p>
    <w:p>
      <w:r>
        <w:t xml:space="preserve">A. MARKETS FOR PRODUCTS AND SERVICES  </w:t>
        <w:br/>
        <w:t xml:space="preserve">1. MARKETS FOR OTHER TELEVISION PROGRAMS  </w:t>
        <w:br/>
        <w:t xml:space="preserve">10. Decisional practice has considered that it is appropriate to distinguish between stock programs (a) and flow programs (b). The traditional criteria for distinguishing these different categories of content are the differences observed, on the one hand, in terms of the identity of sellers and buyers and, on the other hand, regarding prices.  </w:t>
        <w:br/>
        <w:t xml:space="preserve">a) Stock programs  </w:t>
        <w:br/>
        <w:t xml:space="preserve">11. The market for stock programs includes a set of rights concerning products such as fictions (series other than recent American series, TV films, mini-series), documentaries, or animations, excluding cinema films and recent American series which have been considered as part of distinct relevant markets.  </w:t>
        <w:br/>
        <w:t xml:space="preserve">12. It should also be noted that European audiovisual works and works in original French expression (hereinafter, "EOF") are subject to specific regulation providing for obligations to contribute to production and broadcasting quotas, defined by decree.  </w:t>
        <w:br/>
        <w:t xml:space="preserve">13. Regarding contribution obligations, television service publishers broadcasting free-to-air via terrestrial analog mode must either invest at least 15% of their net annual turnover from the previous fiscal year in expenditures contributing to the development of European or EOF audiovisual works, of which at least 10.5% in heritage works (first option), or invest at least 12.5% of that same turnover in financing heritage works (second option). A "heritage work" is a program belonging to one of the following genres: fiction, animation, creative documentary, including those inserted within a program other than a news broadcast or an entertainment program, video-music, and recording or recreation of live performances. Thus, magazines and studio shows are now excluded from the definition. Furthermore, channels have an obligation to invest in independent production. The contribution rate has been set at 9% for channels that have chosen the first option, and at 9.25% for channels that have chosen the second.  </w:t>
        <w:br/>
        <w:t>14. Regarding broadcasting quotas, channel publishers (regardless of the mode of broadcasting) must broadcast at least 60% of European audiovisual works and 40%.</w:t>
      </w:r>
    </w:p>
    <w:p>
      <w:r>
        <w:rPr>
          <w:b/>
        </w:rPr>
        <w:t>[Pages 4–6]</w:t>
      </w:r>
    </w:p>
    <w:p>
      <w:r>
        <w:t>EOF works, across all programming hours, but also during peak viewing hours. When the publisher's turnover exceeds 350 million euros, 120 hours of European or EOF audiovisual works must be broadcast between 8 p.m. and 9 p.m. Decree No. 2010-747 of July 2, 2010, mentioned above, allows publishers to account for, to justify compliance with this obligation, up to 25% of this annual volume, works that are rebroadcast.</w:t>
      </w:r>
    </w:p>
    <w:p>
      <w:r>
        <w:t>15. In its decision No. 10-DCC-11 mentioned above, the Authority noted that a large part of the publishers fulfill their production and/or broadcasting obligations of EOF heritage audiovisual works mainly through expenditures on fiction works. Consequently, the Authority considered the existence, within stock programs, of a specific market for EOF fictions.</w:t>
      </w:r>
    </w:p>
    <w:p>
      <w:r>
        <w:t>b) Flow programs</w:t>
      </w:r>
    </w:p>
    <w:p>
      <w:r>
        <w:t>16. The market for flow programs includes various information programs, magazines, games, variety shows, or studio shows.</w:t>
      </w:r>
    </w:p>
    <w:p>
      <w:r>
        <w:t>17. Furthermore, the decisional practice has considered a possible market for the acquisition of rights concerning current images (flow), while leaving the questions of the existence of this market and its geographical delimitation open. The suppliers in this potential market are the two major news agencies, APTN (Associated Press Television News) and Reuters, but also smaller companies (CAPA, Point du jour, etc.).</w:t>
      </w:r>
    </w:p>
    <w:p>
      <w:r>
        <w:t>2. SEGMENTATION BETWEEN UNAIRED PROGRAMS AND "CATALOGUE" PROGRAMS</w:t>
      </w:r>
    </w:p>
    <w:p>
      <w:r>
        <w:t>18. In decision No. 16-DCC-104, the Authority noted that free channels have two acquisition circuits for stock programs, particularly EOF fictions. Channels can first purchase broadcasting rights from the program producer at the time of developing its financing plan. This is referred to as "pre-purchases" of broadcasting rights, with these investments being accounted for under the obligations of free channels regarding the financing of French audiovisual production. Free channels can also purchase broadcasting rights for existing programs from producers or distributors holding rights. This is referred to as a purchase contract. In this decision, the Authority examined the relevance of a segmentation between unaired programs and "catalogue" programs, without definitively resolving the issue.</w:t>
      </w:r>
    </w:p>
    <w:p>
      <w:r>
        <w:t>19. In this case, the question of segmentation between unaired programs and catalogue programs can be left open, as, regardless of the delimitation chosen, the conclusions of the analysis remain unchanged.</w:t>
      </w:r>
    </w:p>
    <w:p>
      <w:r>
        <w:t>3. SEGMENTATION BETWEEN LINEAR TELEVISION SERVICES AND NON-LINEAR TELEVISION SERVICES</w:t>
      </w:r>
    </w:p>
    <w:p>
      <w:r>
        <w:t>20. The Authority has also considered segmenting the acquisition of television programs between rights intended for traditional, so-called linear television services and those intended for "non-linear" television services (such as video on demand, or VoD, and subscription video on demand, or SVOD).</w:t>
      </w:r>
    </w:p>
    <w:p>
      <w:r>
        <w:t>21. In this case, the question of segmentation between rights intended for linear broadcasting and rights intended for non-linear broadcasting can be left open, as, regardless of the delimitation chosen, the conclusions of the analysis remain unchanged.</w:t>
      </w:r>
    </w:p>
    <w:p>
      <w:r>
        <w:t>B. GEOGRAPHICAL MARKETS</w:t>
      </w:r>
    </w:p>
    <w:p>
      <w:r>
        <w:t>22. The decisional practice defines the upstream markets for acquiring broadcasting rights for stock and flow programs as being of national dimension, insofar as the rights are acquired solely for the national territory or, at most, for the same linguistic area. The same applies to the specific market for rights concerning EOF fictions.</w:t>
      </w:r>
    </w:p>
    <w:p>
      <w:r>
        <w:t>III. Competitive Analysis</w:t>
      </w:r>
    </w:p>
    <w:p>
      <w:r>
        <w:t>23. Given the activities of the parties, the transaction is likely to lead to horizontal effects (A) and vertical effects (B).</w:t>
      </w:r>
    </w:p>
    <w:p>
      <w:r>
        <w:t>A. HORIZONTAL EFFECTS</w:t>
      </w:r>
    </w:p>
    <w:p>
      <w:r>
        <w:t>24. In the national market for flow programs, the parties estimate market shares at [5-10]% for the Endemol France and 21st Century Fox groups and at [0-5]% for Shine France. Following the transaction, the new entity will thus hold an estimated market share of 5.7%, with the transaction resulting in only a limited increment in market share. Furthermore, the new entity will face numerous competing operators, such as the Zodiak groups [10-20]%, Lagardère [0-5]%, and Effervescence [0-5]%.</w:t>
      </w:r>
    </w:p>
    <w:p>
      <w:r>
        <w:t>25. In the national market for stock programs, the parties estimate market shares at [10-20]% for the Endemol France and 21st Century Fox groups and at [0-5]% for Shine France. Following the transaction, the new entity will thus hold an estimated market share of [10-20]%. Moreover, regardless of the sub-segmentation considered for the stock programs market, the position of the new entity will not exceed [20-30]%. As with flow programs, it will remain subject to competition from numerous players, such as the Zodiak groups [0-5]% or Lagardère [10-20]%.</w:t>
      </w:r>
    </w:p>
    <w:p>
      <w:r>
        <w:t>26. In the market for broadcasting rights for EOF fictions, the cumulative market share of the parties is marginal, estimated at [0-5]%.</w:t>
      </w:r>
    </w:p>
    <w:p>
      <w:r>
        <w:t>27. Consequently, the transaction is not likely to harm competition through horizontal effects in the upstream markets for acquiring broadcasting rights for stock and flow programs.</w:t>
      </w:r>
    </w:p>
    <w:p>
      <w:r>
        <w:t>B. VERTICAL EFFECTS</w:t>
      </w:r>
    </w:p>
    <w:p>
      <w:r>
        <w:t>28.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thus reducing their commercial outlets.</w:t>
      </w:r>
    </w:p>
    <w:p>
      <w:r>
        <w:t>29. However, the Authority considers that it is unlikely that a company with a market share below 30% in a given market can lock in a downstream or upstream market.</w:t>
      </w:r>
    </w:p>
    <w:p>
      <w:r>
        <w:t>30. In this case, in the national markets for acquiring broadcasting rights for stock and flow programs, the market shares of the new entity, as a supplier, will be below [10-20]%, regardless of the segmentation considered.</w:t>
      </w:r>
    </w:p>
    <w:p>
      <w:r>
        <w:t>31. Furthermore, the channels published by 21st Century Fox are thematic channels that offer specialized programs (National Geographic Channel, NatGeo Wild, Voyage, Fox News, and Baby TV) that do not correspond to the programs produced and marketed by Shine France. This is confirmed by the fact that the channels published by 21st Century Fox do not source audiovisual programs from Shine France, whose main clients are the TF1, France 2, Canal +, M6, and NT1 channels (representing [80-90]% of its turnover in 2015).</w:t>
      </w:r>
    </w:p>
    <w:p>
      <w:r>
        <w:t>32. Consequently, the transaction is not likely to harm competition through vertical effects in the upstream markets for acquiring broadcasting rights for other television programs.</w:t>
      </w:r>
    </w:p>
    <w:p>
      <w:r>
        <w:rPr>
          <w:b/>
        </w:rPr>
        <w:t>[Pages 7–7]</w:t>
      </w:r>
    </w:p>
    <w:p>
      <w:r>
        <w:t>DECIDES</w:t>
      </w:r>
    </w:p>
    <w:p>
      <w:r>
        <w:t>Sole Article: The operation notified under number 17-006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