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https://www.autoritedelaconcurrence.fr/fr/decision-de-controle-des-concentrations/relative-la-prise-de-controle-exclusif-par-la-societe-31</w:t>
      </w:r>
    </w:p>
    <w:p>
      <w:r>
        <w:t>Pages translated : 2</w:t>
      </w:r>
    </w:p>
    <w:p/>
    <w:p>
      <w:r>
        <w:rPr>
          <w:b/>
        </w:rPr>
        <w:t>[Pages 1–2]</w:t>
      </w:r>
    </w:p>
    <w:p>
      <w:r>
        <w:t xml:space="preserve">FRENCH REPUBLIC  </w:t>
        <w:br/>
        <w:t xml:space="preserve">Decision No. 17-DCC-50 of April 21, 2017  </w:t>
        <w:br/>
        <w:t xml:space="preserve">regarding the exclusive control acquisition by Edmond de Rothschild Investment Partners of the Potel &amp; Chabot group  </w:t>
        <w:br/>
        <w:t xml:space="preserve">The Competition Authority,  </w:t>
        <w:br/>
        <w:t xml:space="preserve">Having regard to the complete notification file submitted to the mergers department on April 6, 2017, concerning the exclusive control acquisition of the Potel &amp; Chabot group by Edmond de Rothschild Investment Partners, formalized by a purchase agreement dated March 20, 2017;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exclusive control acquisition by Edmond de Rothschild Investment Partners of the Potel &amp; Chabot group, active in the event management and catering sector.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transaction under number 17-047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