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https://www.autoritedelaconcurrence.fr/fr/decision-de-controle-des-concentrations/relative-la-prise-de-controle-exclusif-par-la-societe-33</w:t>
      </w:r>
    </w:p>
    <w:p>
      <w:r>
        <w:t>Pages translated : 6</w:t>
      </w:r>
    </w:p>
    <w:p/>
    <w:p>
      <w:r>
        <w:rPr>
          <w:b/>
        </w:rPr>
        <w:t>[Pages 1–3]</w:t>
      </w:r>
    </w:p>
    <w:p>
      <w:r>
        <w:t>FRENCH REPUBLIC</w:t>
        <w:br/>
        <w:t>Decision No. 17-DCC-60 of May 18, 2017</w:t>
        <w:br/>
        <w:t>regarding the exclusive control by Mutares AG of</w:t>
        <w:br/>
        <w:t>the heavy-duty vehicle activity of Plastic Omnium</w:t>
        <w:br/>
        <w:t>The Competition Authority,</w:t>
        <w:br/>
        <w:t>Having regard to the notification file submitted in full to the merger service on April 11, 2017,</w:t>
        <w:br/>
        <w:t>regarding the exclusive control of the companies Mixt Composites Recyclables, Plastic Omnium</w:t>
        <w:br/>
        <w:t>Composites Co., Ltd, Inoplast Trucks SA de CV, Inoplast Trucks SAS, and Inoplast Trucks GmbH</w:t>
        <w:br/>
        <w:t>by Mutares AG, formalized by an offer letter dated November 18, 2016;</w:t>
        <w:br/>
        <w:t>Having regard to Book IV of the Commercial Code relating to price freedom and competition, and</w:t>
        <w:br/>
        <w:t>notably its Articles L. 430-1 to L. 430-7;</w:t>
        <w:br/>
        <w:t>Having regard to the supplementary elements transmitted by the notifying party during the investigation;</w:t>
        <w:br/>
        <w:t>Adopts the following decision:</w:t>
        <w:br/>
        <w:t>I. The concerned companies and the operation</w:t>
        <w:br/>
        <w:t>1. Mutares AG is an investment fund specialized in the acquisition of distressed companies,</w:t>
        <w:br/>
        <w:t>in the context of succession, restructuring, or refinancing. It holds numerous controlling</w:t>
        <w:br/>
        <w:t>interests in companies active in Europe, notably the companies STS Plastics, STS Acoustics, and Elastomer Solution Group (hereinafter "ESG"), active in the production of parts for the automotive industry. The main partners of Mutares AG are Messrs. Axel Geuer and Robin Laik, each holding […] % of its capital. The remainder of the capital is floating, Mutares AG being listed on the Frankfurt Stock Exchange since May 2014. None of the partners of Mutares AG holds, individually or collectively, control over it.</w:t>
        <w:br/>
        <w:t>2. The companies Mixt Composites Recyclables SAS (hereinafter "MCR"), Plastic Omnium</w:t>
        <w:br/>
        <w:t>Composites (Jiangsu) Co., Ltd (hereinafter "POCC"), as well as three new companies created</w:t>
        <w:br/>
        <w:t>through carve-out operations, Inoplast Trucks SA de CV, Inoplast Trucks SAS, and Inoplast</w:t>
        <w:br/>
        <w:t>Trucks GmbH (hereinafter "the target companies"), constitute the manufacturing activity of</w:t>
        <w:br/>
        <w:t>exterior parts for heavy-duty vehicles of the Plastic Omnium group1.</w:t>
        <w:br/>
        <w:t>1 Plastic Omnium retains an activity in the heavy-duty vehicle parts markets through the company Faurecia Exterior Automotive</w:t>
        <w:br/>
        <w:t>Business, acquired in 2016.</w:t>
      </w:r>
    </w:p>
    <w:p>
      <w:r>
        <w:t>3. The notified operation consists of the acquisition of all shares of the target companies by</w:t>
        <w:br/>
        <w:t>several subsidiaries wholly owned by Mutares AG2.</w:t>
        <w:br/>
        <w:t>4. As it results in the exclusive control of the target companies by Mutares AG, the notified operation constitutes a concentration within the meaning of Article L. 430-1 of the Commercial Code.</w:t>
        <w:br/>
        <w:t>5. The companies concerned together achieve a total worldwide turnover excluding taxes of more than 150 million euros (Mutares AG: […] euros for the fiscal year ending December 31, 2015; target companies: […] euros for the same fiscal year). Each of these companies has achieved a turnover in France exceeding 50 million euros (Mutares AG: […] euros for the fiscal year ending December 31, 2015; target companies: […] euros for the same fiscal year).</w:t>
        <w:br/>
        <w:t>6.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7. The operation was notified to the German competition authority on April 11, 2017, which authorized it without commitments on May 9, 2017.</w:t>
        <w:br/>
        <w:t>II. Delimitation of relevant markets</w:t>
        <w:br/>
        <w:t>A. DELIMITATION OF PRODUCT MARKETS</w:t>
        <w:br/>
        <w:t>8. The parties are simultaneously active in the sector of manufacturing spare parts for</w:t>
        <w:br/>
        <w:t>the automotive industry.</w:t>
        <w:br/>
        <w:t>9. In terms of automotive equipment, European and national decision-making practice3</w:t>
        <w:br/>
        <w:t>considers that each type of part can constitute a distinct market in the absence of</w:t>
        <w:br/>
        <w:t>substitutability between different types of parts. Specific markets have thus been identified for bumpers, door panels, dashboards, mudguards, side protections (body belts), sills, spoilers, trunk lids, vehicle and trunk floors, etc.</w:t>
        <w:br/>
        <w:t>2 The shares of the companies POCC, Inoplast Trucks SA de CV, and Inoplast Trucks GmbH must be acquired by Mutares Holding-17 AG, those of MCR by STS MCR Holding, and those of Inoplast Trucks SAS by STS Plastics Holding.</w:t>
        <w:br/>
        <w:t>3 See notably letter C2007-135 from the Minister of Economy, Finance and Employment dated November 26, 2007, to the advisors of the Arche group regarding a concentration in the automotive parts sector; the decisions of the Competition Authority No. 09-DCC-08 of May 25, 2009, regarding the exclusive control of the Setforge group by Farinia B.V., No. 10-DCC-30 of April 7, 2010, regarding the acquisition by the Plastivaloire group of the assets of Key Plastics France and Slovakia as part of a divestiture plan, No. 10-DCC-154 of November 19, 2010, regarding the exclusive control by Faurecia of asset elements belonging to the Visteon group, No. 11-DCC-21 of February 14, 2011, regarding the exclusive control of Parfib by Plastiques du Val de Loire, No. 11-DCC-60 of April 12, 2011, regarding the acquisition of Société des Polymères Barre-Thomas by Cooper-Standard Automotive France, and No. 12-DCC-26 of February 24, 2012, regarding the exclusive control of the Trelleborg Fluid Solutions and Carbody divisions by Bavaria France Holding SAS; and the decisions of the European Commission M.1518 Lear / United Technologies; M.1569 Gränges/Norsk Hydro of July 5, 1999, M.2241-Peugeot/Sommer Allibert of December 20, 2000, M.3436 Continental/Phoenix of October 26, 2004, M.4239 Plastic Omnium/Inopart of October 27, 2006, M.5488 Magna/Cadence Innovation of May 7, 2009, M.6537 Faurecia/Plastal of July 23, 2012, and M.7893 Plastic Omnium/Faurecia Exterior Automotive Business of July 11, 2016.</w:t>
      </w:r>
    </w:p>
    <w:p>
      <w:r>
        <w:t>10. The decision-making practice has further sub-segmented the markets based on the type of vehicle to which the automotive part is integrated, distinguishing between light vehicles (passenger cars and light commercial vehicles) on the one hand, and heavy-duty vehicles on the other.</w:t>
        <w:br/>
        <w:t>11. Furthermore, it has also considered a segmentation of the automotive plastic parts market based on the material used, namely thermoplastic or thermosetting4.</w:t>
        <w:br/>
        <w:t>12. The decision-making practice5 has finally distinguished between the markets for original equipment (OEM – Original Equipment Manufacturer) and spare parts distributed by manufacturer networks (OES – Original Equipment Services) on the one hand, and the markets comprising spare parts distributed by large distribution networks or vehicle maintenance specialists (IAM – Independent Aftermarket) on the other.</w:t>
        <w:br/>
        <w:t>13. In this case, the question of the delimitation of product markets can be left open, insofar as, regardless of the segmentation retained, the conclusions of the competitive analysis remain unchanged.</w:t>
        <w:br/>
        <w:t>B. GEOGRAPHICAL DELIMITATION OF MARKETS</w:t>
        <w:br/>
        <w:t>14. In terms of automotive equipment parts, national decision-making practice6 considers</w:t>
        <w:br/>
        <w:t>that the markets are at least European in scope, as manufacturers of automotive parts operate throughout Europe and there are no technical standards or regulatory barriers to trade within the European Economic Area, nor customs barriers between Member States.</w:t>
        <w:br/>
        <w:t>15. However, European decision-making practice has not excluded the existence of local markets7 corresponding to a zone of 250 kilometers around the production sites of OEMs for front and rear plastic bumpers for light vehicles. It has also considered the possibility of defining even more restricted local markets, with a radius of 150 kilometers around the production sites of OEMs, for plastic tailgates for light vehicles.</w:t>
        <w:br/>
        <w:t>16. In this case, the question of the delimitation of geographical markets can be left open, insofar as, regardless of the segmentation retained, the conclusions of the competitive analysis remain unchanged.</w:t>
        <w:br/>
        <w:t>4 See notably the decisions of the European Commission M.4043 Plastal/Dynamit Nobel Kunststoff of December 22, 2005, M.4757 Nordic Capital/Thule of July 20, 2007, and M.7893 mentioned above.</w:t>
        <w:br/>
        <w:t>5 See notably the aforementioned letter C2007-135; decisions No. 10-DCC-30, No. 10-DCC-154, No. 11-DCC-21, No. 11-DCC-60, and No. 12-DCC-26 mentioned above; and decisions of the European Commission M.3789 Johnson Controls / Robert Bosch / Delphi SLI of June 29, 2005, M.3972 TRW Automotive/Dalphi Metal España of October 12, 2005, M.4456 Mahle/Dana EPG of March 6, 2007, and M.7564 Mahle Behr/Delphi Thermal Systems Business of June 23, 2015.</w:t>
        <w:br/>
        <w:t>6 See notably the aforementioned letter C2007-135; decisions No. 09-DCC-08, No. 10-DCC-30, No. 10-DCC-154, No. 11-DCC-21, No. 11-DCC-60, and No. 12-DCC-26 mentioned above; and decisions M.2241, M.4239, M.5488, and M.6537 mentioned above.</w:t>
        <w:br/>
        <w:t>7 See decision M.7893 mentioned above.</w:t>
      </w:r>
    </w:p>
    <w:p>
      <w:r>
        <w:rPr>
          <w:b/>
        </w:rPr>
        <w:t>[Pages 4–6]</w:t>
      </w:r>
    </w:p>
    <w:p>
      <w:r>
        <w:t xml:space="preserve">III. Competitive Analysis  </w:t>
        <w:br/>
        <w:t xml:space="preserve">A. ANALYSIS OF HORIZONTAL EFFECTS  </w:t>
        <w:br/>
        <w:t xml:space="preserve">17. At the local level, the operation does not result in any overlap of activity between the parties.  </w:t>
        <w:br/>
        <w:t xml:space="preserve">18. At the European level, the estimated market shares of the parties in the product markets where they are simultaneously active are as follows:  </w:t>
        <w:br/>
        <w:t xml:space="preserve">Supply to Target OEM Companies  </w:t>
        <w:br/>
        <w:t xml:space="preserve">Mutares AG Main competitors  </w:t>
        <w:br/>
        <w:t xml:space="preserve">entity  </w:t>
        <w:br/>
        <w:t xml:space="preserve">Polytec: [20-30]%  </w:t>
        <w:br/>
        <w:t xml:space="preserve">Fiberpachs: [10-20]%  </w:t>
        <w:br/>
        <w:t xml:space="preserve">Promens Panels: [5-10]%  </w:t>
        <w:br/>
        <w:t xml:space="preserve">bodywork in [5-10]% [10-20]% [20-30]% Plastic Omnium: [5-10]%  </w:t>
        <w:br/>
        <w:t xml:space="preserve">plastic* Kienbacher: [5-10]%  </w:t>
        <w:br/>
        <w:t xml:space="preserve">Magna: [5-10]%  </w:t>
        <w:br/>
        <w:t xml:space="preserve">Takata: [5-10]%  </w:t>
        <w:br/>
        <w:t xml:space="preserve">Parat: [20-30]%  </w:t>
        <w:br/>
        <w:t xml:space="preserve">Front grilles Takata: [20-30]%  </w:t>
        <w:br/>
        <w:t xml:space="preserve">[10-20]% [5-10]% [10-20]%  </w:t>
        <w:br/>
        <w:t xml:space="preserve">in plastic* Magna: [20-30]%  </w:t>
        <w:br/>
        <w:t xml:space="preserve">Faurecia: [5-10]%  </w:t>
        <w:br/>
        <w:t xml:space="preserve">Polytec: [20-30]%  </w:t>
        <w:br/>
        <w:t xml:space="preserve">Bumpers in Magna: [20-30]%  </w:t>
        <w:br/>
        <w:t xml:space="preserve">[10-20]% [0-5]% [10-20]%  </w:t>
        <w:br/>
        <w:t xml:space="preserve">plastic* IAC: [10-20]%  </w:t>
        <w:br/>
        <w:t xml:space="preserve">Plastal: [5-10]%  </w:t>
        <w:br/>
        <w:t xml:space="preserve">Magna: [30-40]%  </w:t>
        <w:br/>
        <w:t xml:space="preserve">Bumpers in IAC: [10-20]%  </w:t>
        <w:br/>
        <w:t xml:space="preserve">[10-20]% [0-5]% [10-20]%  </w:t>
        <w:br/>
        <w:t xml:space="preserve">thermoplastic Polytec: [10-20]%  </w:t>
        <w:br/>
        <w:t xml:space="preserve">Plastal: [10-20]%  </w:t>
        <w:br/>
        <w:t xml:space="preserve">Polytech: [10-20]%  </w:t>
        <w:br/>
        <w:t xml:space="preserve">IAC: [10-20]%  </w:t>
        <w:br/>
        <w:t xml:space="preserve">Steps in  </w:t>
        <w:br/>
        <w:t xml:space="preserve">[5-10]% [40-50]% [40-50]% Plastal: [5-10]%  </w:t>
        <w:br/>
        <w:t xml:space="preserve">plastic*  </w:t>
        <w:br/>
        <w:t xml:space="preserve">Fiberpachs: [5-10]%  </w:t>
        <w:br/>
        <w:t xml:space="preserve">IMR: [5-10]%  </w:t>
        <w:br/>
        <w:t xml:space="preserve">*thermoplastic and thermosetting  </w:t>
        <w:br/>
        <w:t xml:space="preserve">19. Except for the European market for the production of plastic steps, the market shares of the new entity are below 25%. In each of these markets, it will face competition from several companies that have larger market shares, particularly the companies Magna and Polytec.  </w:t>
        <w:br/>
        <w:t xml:space="preserve">20. Regarding the European market for the production of plastic steps, the new entity will have a market share of [40-50]%. It will face competition from the companies Polytech ([10-20]%), IAC ([10-20]%), Plastal ([5-10]%), Fiberpachs ([5-10]%) and IMR ([5-10]%).  </w:t>
        <w:br/>
        <w:t xml:space="preserve">21. Despite this high market share, any risk of harm to competition can be ruled out for the following reasons.  </w:t>
        <w:br/>
        <w:t xml:space="preserve">22. First, the functioning of this market relies on tenders that generally lead to significant volatility in the market shares of the main suppliers to the OEMs. The high market share of the target companies is explained in particular by [confidential].  </w:t>
        <w:br/>
        <w:t xml:space="preserve">23. The notifying party also indicates that 9 programs of this type are to be launched by the OEMs between 2018 and 2020 and that consequently, given the existence of credible competitors who have already won such tenders, the market share of the new entity does not reflect its market power.  </w:t>
        <w:br/>
        <w:t xml:space="preserve">24. In this regard, the Authority has found that the parties are only exceptionally in competition in the context of such tenders, as the OEMs specify the desired technology (thermoplastic or thermosetting) and the acquirer and the target companies have respectively a technical specialization in thermoplastic (Mutares AG) and thermosetting (target companies). Thus, since 2011, the parties have never responded to the same tenders.  </w:t>
        <w:br/>
        <w:t xml:space="preserve">25. Furthermore, as noted by the competition authorities, the markets for the supply of automotive parts are characterized by a strong purchasing power of the OEMs who pursue a strategy of diversifying their suppliers in order to avoid any dependence, notably by resorting to tenders. For example, Daimler Trucks has significant negotiating power, as the manufacturer accounted for [70-80]% of the turnover generated by the target companies in this market in 2015.  </w:t>
        <w:br/>
        <w:t xml:space="preserve">26. Consequently, the notified operation is not likely to harm competition through horizontal effects.  </w:t>
        <w:br/>
        <w:t xml:space="preserve">B. ANALYSIS OF CONGLOMERATE EFFECTS  </w:t>
        <w:br/>
        <w:t xml:space="preserve">27. A concentration has conglomerate effects when the new entity extends or strengthens its presence in several markets whose connectivity may allow it to increase its market power. The decision-making practice of the competition authorities generally considers that a risk of conglomerate effect can be ruled out as long as the share of the entity resulting from the operation in the relevant markets does not exceed 30%.  </w:t>
        <w:br/>
        <w:t xml:space="preserve">28. In this case, the markets for the supply to OEMs of exterior parts for heavy trucks have connectivity links with those for the supply to OEMs of exterior, interior, and engine parts for heavy trucks and parts for passenger cars and light commercial vehicles. The notifying party estimates that the parties represent [40-50]% of the market for the supply of plastic steps for heavy trucks to OEMs.  </w:t>
        <w:br/>
        <w:t xml:space="preserve">29. However, the functioning of the markets for heavy truck parts and automotive parts significantly limits the new entity's ability to implement related sales strategies. Tenders are indeed specific to each project and are segmented by parts or sets of parts. Tenders are managed by different buyers depending on the type of vehicle or even the type of parts (exterior, interior, or engine). In this case, the possession of a range of products does not constitute a determining selling argument.  </w:t>
        <w:br/>
        <w:t xml:space="preserve">30. Therefore, given the specifics of the markets and the purchasing power of customers, the notified operation is not likely to harm competition through conglomerate effects.  </w:t>
        <w:br/>
        <w:t xml:space="preserve">DECIDES  </w:t>
        <w:br/>
        <w:t xml:space="preserve">Sole Article: The operation notified under number 17-031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