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https://www.autoritedelaconcurrence.fr/fr/decision-de-controle-des-concentrations/relative-la-prise-de-controle-exclusif-par-la-societe-34</w:t>
      </w:r>
    </w:p>
    <w:p>
      <w:r>
        <w:t>Pages translated : 5</w:t>
      </w:r>
    </w:p>
    <w:p/>
    <w:p>
      <w:r>
        <w:rPr>
          <w:b/>
        </w:rPr>
        <w:t>[Pages 1–3]</w:t>
      </w:r>
    </w:p>
    <w:p>
      <w:r>
        <w:t xml:space="preserve">FRENCH REPUBLIC  </w:t>
        <w:br/>
        <w:t xml:space="preserve">Decision No. 17-DCC-91 of June 22, 2017  </w:t>
        <w:br/>
        <w:t>regarding the exclusive control by the company Groupe Kertrucks Finance of the companies Filoca and SECVI and the business assets of heavy vehicle distribution and tires of the companies Caroff Pneus, Carhaix PL, and GGPL</w:t>
      </w:r>
    </w:p>
    <w:p>
      <w:r>
        <w:t xml:space="preserve">The Competition Authority,  </w:t>
        <w:br/>
        <w:t xml:space="preserve">Having regard to the notification file submitted in full to the concentrations service on May 18, 2017, regarding the exclusive control of the companies Filoca and SECVI and the business assets of heavy vehicle distribution and tires of the companies Caroff Pneus, Carhaix PL, and GGPL by the company Groupe Kertrucks Finance, formalized by business transfer agreements and a share transfer agreement dated October 28, 2016, as well as a letter of intent dated May 15, 2017;  </w:t>
        <w:br/>
        <w:t xml:space="preserve">Having regard to Book IV of the Commercial Code relating to price freedom and competition, and in particular its Articles L. 430-1 to L. 430-7;  </w:t>
        <w:br/>
        <w:t xml:space="preserve">Having regard to the supplementary elements transmitted by the notifying party during the investigation;  </w:t>
        <w:br/>
        <w:t>Adopts the following decision:</w:t>
      </w:r>
    </w:p>
    <w:p>
      <w:r>
        <w:t xml:space="preserve">I. The concerned companies and the operation  </w:t>
        <w:br/>
        <w:t xml:space="preserve">1. Groupe Kertrucks Finance (hereinafter "Groupe Kertrucks") heads a group of companies active in the sectors of industrial vehicle distribution, spare parts and accessories for industrial vehicles, as well as in the sector of industrial vehicle repair and maintenance. Groupe Kertrucks is also active in the sectors of industrial vehicle rental under the Clovis Location brand and the distribution of replacement tires under the Vulco brand. The companies of the Groupe Kertrucks are present in the departments of Côtes d’Armor (22), Ille-et-Vilaine (35), Morbihan (56), Finistère (29), Loire-Atlantique (44), Maine-et-Loire (49), and Mayenne (53).  </w:t>
        <w:br/>
        <w:t>They distribute new industrial vehicles of the Renault Trucks brand and used industrial vehicles of all brands.</w:t>
      </w:r>
    </w:p>
    <w:p>
      <w:r>
        <w:t xml:space="preserve">The company Groupe Kertrucks Finance is jointly owned by the companies Jam Prod and Sacapuce, each holding 47.24%, these companies being controlled respectively by Mr. Ronsin and Mr. Auger.  </w:t>
        <w:br/>
        <w:t xml:space="preserve">2. The companies Caroff Pneus, Carhaix PL, GGPL, Filoca, and SECVI (hereinafter, the "target companies") are active in the sectors of industrial vehicle distribution and spare parts and accessories for industrial vehicles, as well as in the sector of industrial vehicle repair and maintenance. They are also active in the sectors of industrial vehicle rental under the Clovis Location brand and the distribution of replacement tires under the Euromaster brand. The company SECVI engages in the activity of installation and periodic inspection of digital and analog tachographs. The target companies, controlled by the Scouarnec family, are present in the departments of Côtes d’Armor (22), Finistère (29), and Ille-et-Vilaine (35).  </w:t>
        <w:br/>
        <w:t xml:space="preserve">3. The notified operation consists of the acquisition by Groupe Kertrucks of all the shares of Filoca and the shares of SECVI, as well as the business assets of heavy vehicle distribution and tires of the companies Caroff Pneus, Carhaix PL, and GGPL. This concentration operation is analyzed as two successive operations, which took place between the same companies within a period of less than two years. The first operation concerning the control by Groupe Kertrucks of the company Filoca and the business assets of heavy vehicle distribution and tires of the companies Caroff Pneus, Carhaix PL, and GGPL resulted in an authorization decision from the Competition Authority dated December 22, 2016. The second operation, formalized by a letter of intent dated May 15, 2017, concerns the control by Groupe Kertrucks of the company SECVI. In accordance with Article 5, § 2, of Regulation (EC) No. 139/2004, "two or more operations within the meaning of the first paragraph that have taken place within a period of two years between the same persons or companies are to be considered as a single concentration occurring on the date of the last operation."  </w:t>
        <w:br/>
        <w:t xml:space="preserve">4. Insofar as it results in the exclusive control of the target companies by Groupe Kertrucks, the notified operation constitutes a concentration operation within the meaning of Article L. 430-1 of the Commercial Code.  </w:t>
        <w:br/>
        <w:t>5. The concerned companies together achieve a total worldwide turnover excluding taxes of more than 150 million euros (Groupe Kertrucks: 153 million for the last financial year ending December 31, 2015; the target companies: 51 million euros for the same financial year). The concerned companies achieve in France a total turnover excluding taxes exceeding 50 million euros (Groupe Kertrucks: 143 million euros for the last financial year ending December 31, 2015; the target companies: 51 million euros for the same financial year). Given these turnover figures, the operation does not fall under the jurisdiction of the European Union. However,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Delimitation of Relevant Markets  </w:t>
        <w:br/>
        <w:t xml:space="preserve">6. The parties are simultaneously active in the wholesale distribution market for used industrial vehicles and in the retail distribution markets for new and used industrial vehicles. They are also active in the market for the distribution of spare parts and accessories for industrial vehicles, in the market for the distribution of maintenance and repair services for industrial vehicles, and in the market for the rental of industrial vehicles. Both are active in the markets for the distribution of new replacement tires and the distribution of retreaded tires.  </w:t>
        <w:br/>
        <w:t xml:space="preserve">7. However, these markets will not be presented in this decision, insofar as they have been precisely defined in the aforementioned decision No. 16-DCC-233 and that no element of law or fact has occurred since the authorization granted that would call into question their delimitation. Only the markets concerned by the second operation will therefore be analyzed in the context of this decision.  </w:t>
        <w:br/>
        <w:t xml:space="preserve">8. In this case, Groupe Kertrucks and the company SECVI engage in the activity of installation and periodic inspection of digital and analog tachographs.  </w:t>
        <w:br/>
        <w:t xml:space="preserve">A. SERVICE MARKETS  </w:t>
        <w:br/>
        <w:t xml:space="preserve">9. To date, competition authorities have not had the opportunity to analyze the activities of installation and periodic inspection of digital and analog tachographs.  </w:t>
        <w:br/>
        <w:t xml:space="preserve">10. In decision No. 90-D-346, the Competition Authority noted that "[t]he tachograph is a device installed in vehicles over 3,500 kilograms or nine seats, intended for monitoring the working and rest times of their drivers."  </w:t>
        <w:br/>
        <w:t xml:space="preserve">11. The use of a tachograph has been mandatory since 1975 throughout the European Economic Community in vehicles over 3.5 tons or nine seats, in order to monitor the working and rest times of drivers by recording data related to the movements and stopping times of the vehicle.  </w:t>
        <w:br/>
        <w:t xml:space="preserve">12. There are two types of tachographs: analog or digital. These instruments do not differ from one vehicle model to another, nor according to the use made of the vehicle.  </w:t>
        <w:br/>
        <w:t>13. These instruments are installed and inspected by companies that have obtained approval from the Regional Directorate for Enterprises, Competition, Consumption, Labor, and Employment, which operate in Tachy stations. The granted approval may cover "all vehicles," exclude "vehicles with permanent all-wheel drive," or be limited to certain manufacturers.</w:t>
      </w:r>
    </w:p>
    <w:p>
      <w:r>
        <w:rPr>
          <w:b/>
        </w:rPr>
        <w:t>[Pages 4–5]</w:t>
      </w:r>
    </w:p>
    <w:p>
      <w:r>
        <w:t>14. There is, however, no need to conclude on the precise delineation of these markets, as the conclusions of the competitive analysis remain unchanged regardless of the definition adopted.</w:t>
      </w:r>
    </w:p>
    <w:p>
      <w:r>
        <w:t>B. GEOGRAPHIC MARKETS</w:t>
      </w:r>
    </w:p>
    <w:p>
      <w:r>
        <w:t>15. Tachy stations are most often located in or near a maintenance and repair workshop for industrial vehicles. Consequently, the notifying party proposes to transpose to the activities of installation and periodic inspection of digital and analog tachographs the decision-making practice applicable to the maintenance and repair services of industrial vehicles. Furthermore, it considers that if a sub-departmental dimension were to be adopted, the catchment area of a Tachy station would cover an access radius to the Tachy station of approximately 30 minutes by truck around it.</w:t>
      </w:r>
    </w:p>
    <w:p>
      <w:r>
        <w:t>16. There is, however, no need to conclude on the precise delineation of these markets, as the conclusions of the competitive analysis remain unchanged regardless of the definition adopted.</w:t>
      </w:r>
    </w:p>
    <w:p>
      <w:r>
        <w:t>III. Competitive Analysis</w:t>
      </w:r>
    </w:p>
    <w:p>
      <w:r>
        <w:t>17. For the reasons set out in the aforementioned decision n° 16-DCC-223, the operation is not likely to harm competition in the wholesale distribution markets for used industrial vehicles, the retail distribution markets for new and used industrial vehicles, the distribution of spare parts and accessories for industrial vehicles, maintenance and repair services for industrial vehicles, rental of industrial vehicles, and distribution of replacement tires.</w:t>
      </w:r>
    </w:p>
    <w:p>
      <w:r>
        <w:t>18. Regarding the acquisition of control over the company SECVI, it is likely to produce horizontal effects in the markets for the installation and periodic inspection of digital and analog tachographs.</w:t>
      </w:r>
    </w:p>
    <w:p>
      <w:r>
        <w:t>19. In a potential market for the installation and periodic inspection of digital and analog tachographs, the parties estimate that their combined market share is below 20% in value and volume, regardless of the segmentation and geographic delineation adopted (departmental or national).</w:t>
      </w:r>
    </w:p>
    <w:p>
      <w:r>
        <w:t>20. Furthermore, the new entity, which will hold two Tachy stations in the Finistère department, will face competition from several other competing Tachy stations, including eight Tachy stations located in the Finistère department.</w:t>
      </w:r>
    </w:p>
    <w:p>
      <w:r>
        <w:t>21. Consequently, the operation is not likely to harm competition through horizontal effects in a potential market for the installation and periodic inspection of digital and analog tachographs.</w:t>
      </w:r>
    </w:p>
    <w:p>
      <w:r>
        <w:t>DECIDES</w:t>
      </w:r>
    </w:p>
    <w:p>
      <w:r>
        <w:t>Sole Article: The operation notified under number 17-069 is authorized.</w:t>
      </w:r>
    </w:p>
    <w:p>
      <w:r>
        <w:t>The President,</w:t>
        <w:br/>
        <w:t>Isabelle de Silva</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