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https://www.autoritedelaconcurrence.fr/fr/decision-de-controle-des-concentrations/relative-la-prise-de-controle-exclusif-par-la-societe-35</w:t>
      </w:r>
    </w:p>
    <w:p>
      <w:r>
        <w:t>Pages translated : 2</w:t>
      </w:r>
    </w:p>
    <w:p/>
    <w:p>
      <w:r>
        <w:rPr>
          <w:b/>
        </w:rPr>
        <w:t>[Pages 1–2]</w:t>
      </w:r>
    </w:p>
    <w:p>
      <w:r>
        <w:t>FRENCH REPUBLIC</w:t>
        <w:br/>
        <w:t>Decision No. 18-DCC-100 of June 20, 2018</w:t>
        <w:br/>
        <w:t>regarding the exclusive control acquisition by the company Franprix Leader</w:t>
        <w:br/>
        <w:t>Price Holding (Casino group) of 11 retail businesses with a food focus operated under the Leader Price brand</w:t>
        <w:br/>
        <w:t>The Competition Authority,</w:t>
        <w:br/>
        <w:t>Having regard to the complete notification file sent to the mergers department on May 18, 2018,</w:t>
        <w:br/>
        <w:t>concerning the exclusive control acquisition of 11 retail businesses with a food focus operated under the Leader Price brand by the company Franprix Leader Price Holding, and</w:t>
        <w:br/>
        <w:t>formalized by a transfer agreement dated April 20, 2018;</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Franprix Leader Price Holding, a subsidiary of the Casino group, of 11 retail businesses with a food focus under the Leader Price brand. It constitutes a concentration operation within the meaning of Article L. 430-1 of the Commercial Code. Given the turnover achieved by the companies involved,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18-093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