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https://www.autoritedelaconcurrence.fr/fr/decision-de-controle-des-concentrations/relative-la-prise-de-controle-exclusif-par-la-societe-36</w:t>
      </w:r>
    </w:p>
    <w:p>
      <w:r>
        <w:t>Pages translated : 9</w:t>
      </w:r>
    </w:p>
    <w:p/>
    <w:p>
      <w:r>
        <w:rPr>
          <w:b/>
        </w:rPr>
        <w:t>[Pages 1–3]</w:t>
      </w:r>
    </w:p>
    <w:p>
      <w:r>
        <w:t xml:space="preserve">FRENCH REPUBLIC  </w:t>
        <w:br/>
        <w:t xml:space="preserve">Decision No. 18-DCC-131 of August 3, 2018  </w:t>
        <w:br/>
        <w:t xml:space="preserve">regarding the exclusive control by the company Boulanger of two  </w:t>
        <w:br/>
        <w:t xml:space="preserve">business assets operated under the Darty brand  </w:t>
        <w:br/>
        <w:t xml:space="preserve">The Competition Authority,  </w:t>
        <w:br/>
        <w:t xml:space="preserve">Having regard to the notification file sent to the merger service on June 27, 2018, and declared complete on July 20, 2018, regarding the exclusive control by the company Boulanger of two business assets operated under the Darty brand, formalized by two synallagmatic promise of sale contracts, dated May 17, 2018, and June 11, 2018;  </w:t>
        <w:br/>
        <w:t xml:space="preserve">Having regard to Book IV of the Commercial Code relating to price freedom and competition, and in particular its Articles L. 430-1 to L. 430-7;  </w:t>
        <w:br/>
        <w:t xml:space="preserve">Having regard to the supplementary elements transmitted by the notifying party during the investigation;  </w:t>
        <w:br/>
        <w:t xml:space="preserve">Adopts the following decision:  </w:t>
        <w:br/>
        <w:t xml:space="preserve">I. The companies concerned and the operation  </w:t>
        <w:br/>
        <w:t xml:space="preserve">1. Boulanger is a public limited company owned 99.99% by the company High Tech Multicanal Group SA (hereinafter, "HTM"), which is ultimately owned by a group of approximately 700 shareholders, individuals linked by family ties, commonly referred to as the Mulliez Family Association. None of these shareholders controls, alone or jointly, HTM. Boulanger is active in the retail sale of household appliances (brown, grey, and white goods). Boulanger operates 141 stores in France, including 26 in Île-de-France and 4 in Paris intra-muros, and has an online sales website (www.boulanger.com). HTM also controls the company Électro Dépôt, active in the retail sale of household appliances.  </w:t>
        <w:br/>
        <w:t xml:space="preserve">2. The targets of the operation are two retail business assets of household appliances operated under the Darty brand (hereinafter, "the targets"). One of the retail outlets, with a commercial area of 2,189 m2, is located at 92/94, Avenue Paul Doumer in Paris (75016). The second, with a commercial area of 2,158 m2, is located at 56, Boulevard Rochechouart in Paris (75018). These two retail outlets are currently controlled by the company Établissements Darty et Fils.  </w:t>
        <w:br/>
        <w:t xml:space="preserve">3. The operation was formalized by two synallagmatic promise of sale contracts: one dated May 17, 2018, concerning the retail outlet located on Rue de la Pompe, and the other dated June 11, 2018, concerning the retail outlet located on Boulevard Rochechouart. The operation involves the transfer, by the company Établissements Darty et Fils, to Boulanger of the business assets of these two retail stores of household appliances.  </w:t>
        <w:br/>
        <w:t xml:space="preserve">4. In that it results in the exclusive control of two retail stores of household appliances by Boulanger, the operation constitutes a concentration operation within the meaning of Article L. 430-1 of the Commercial Code.  </w:t>
        <w:br/>
        <w:t xml:space="preserve">5. The companies concerned together achieve a total worldwide turnover excluding taxes of more than 75 million euros (Boulanger: [&gt;75 million] euros for the fiscal year ending December 31, 2017; the targets: [&gt;15 million] euros for the same fiscal year). Each of the two parties to the concentration achieves in France in the retail sector a turnover exceeding 15 million euros (Boulanger: [&gt;15 million] euros for the fiscal year ending December 31, 2017; the targets: [&gt;15 million] euros for the same fiscal year). Given these turnover figures, the operation does not fall under the jurisdiction of the European Union. However, the control thresholds related to retail mentioned in point II of Article L. 430-2 of the Commercial Code are exceeded.  </w:t>
        <w:br/>
        <w:t xml:space="preserve">II. Definition of the relevant markets  </w:t>
        <w:br/>
        <w:t xml:space="preserve">6. The parties are simultaneously active in the retail sector of household appliances.  </w:t>
        <w:br/>
        <w:t xml:space="preserve">7. In the retail sector, competition authorities generally recognize two categories of markets: the upstream markets for the supply of retail companies (A) and the downstream markets that bring together retail companies and the final consumer (B).  </w:t>
        <w:br/>
        <w:t xml:space="preserve">A. UPSTREAM MARKETS FOR THE SUPPLY OF HOUSEHOLD APPLIANCES  </w:t>
        <w:br/>
        <w:t xml:space="preserve">1. PRODUCT MARKETS  </w:t>
        <w:br/>
        <w:t xml:space="preserve">8. Regarding the upstream supply markets, competition authorities have noted that "producers manufacture specific products or groups of products and are not technically able to easily convert to the manufacture of other products without significant costs." Furthermore, "at the supply level, it can be considered that there are as many markets as there are families of products subject to negotiation, each distributor putting various suppliers in competition on each of the markets."  </w:t>
        <w:br/>
        <w:t xml:space="preserve">9. Based on the organization of the "purchasing" divisions of distributors, competition authorities thus resort to segmentation according to the following product groups: (i) large household appliances; (ii) small household appliances; (iii) cameras/film; (iv) hi-fi/sound equipment; (v) TV/video equipment; (vi) computers/peripherals; and (vii) telephony.  </w:t>
        <w:br/>
        <w:t xml:space="preserve">10. The Authority also questioned the relevance of retaining a distinct market for video game products (including consoles, accessories, and video games).  </w:t>
        <w:br/>
        <w:t xml:space="preserve">11. In this case, the question of defining the upstream supply markets for household appliances can be left open, as the conclusions of the competitive analysis remain unchanged, regardless of the segmentations retained.  </w:t>
        <w:br/>
        <w:t xml:space="preserve">2. GEOGRAPHICAL MARKETS  </w:t>
        <w:br/>
        <w:t xml:space="preserve">12. Competition authorities consider that the supply markets are at least national in scope, if not European.  </w:t>
        <w:br/>
        <w:t xml:space="preserve">13. In this case, the question of the geographical definition of these markets can be left open, as the conclusions of the competitive analysis remain unchanged, regardless of the segmentations retained.  </w:t>
        <w:br/>
        <w:t xml:space="preserve">B. DOWNSTREAM MARKETS FOR THE RETAIL SALE OF HOUSEHOLD APPLIANCES  </w:t>
        <w:br/>
        <w:t xml:space="preserve">1. PRODUCT MARKETS  </w:t>
        <w:br/>
        <w:t xml:space="preserve">14. The decisional practice has considered a segmentation of the downstream markets for the retail sale of household appliances according to two criteria: the product family and the distribution channel.  </w:t>
        <w:br/>
        <w:t xml:space="preserve">a) Distinction by product family  </w:t>
        <w:br/>
        <w:t xml:space="preserve">White, brown, and grey goods  </w:t>
        <w:br/>
        <w:t>15. Competition authorities traditionally distinguish, within the category of household appliances, which includes both electrical and electronic products, three product families:</w:t>
      </w:r>
    </w:p>
    <w:p>
      <w:r>
        <w:rPr>
          <w:b/>
        </w:rPr>
        <w:t>[Pages 4–6]</w:t>
      </w:r>
    </w:p>
    <w:p>
      <w:r>
        <w:t xml:space="preserve">(i) white goods: cooktops, stoves, ovens, built-in sets, hoods, washing machines, dryers, dishwashers, refrigerators, freezers, small kitchen appliances, coffee makers, food processors, irons, and vacuum cleaners;  </w:t>
        <w:br/>
        <w:t xml:space="preserve">(ii) brown goods: televisions, camcorders, hi-fi and audio equipment, digital devices, and DVD players;  </w:t>
        <w:br/>
        <w:t xml:space="preserve">(iii) grey goods: personal computers, monitors, peripherals (printers or scanners), keyboards, modular accessories or spare parts (memory cards or additional hard drives), software, and telephony.  </w:t>
        <w:br/>
        <w:t xml:space="preserve">16. Regarding the distribution of white goods, the decisional practice has left open the question of a possible sub-segmentation between small and large appliances.  </w:t>
        <w:br/>
        <w:t xml:space="preserve">17. Finally, the competition authorities have also considered that a finer market segmentation between "low-end" and "high-end" products was not relevant, as brands generally offer a wide assortment of products, regardless of their marketing positioning.  </w:t>
        <w:br/>
        <w:t xml:space="preserve">18. There is no need to challenge this delimitation in the context of the present operation.  </w:t>
        <w:br/>
        <w:t xml:space="preserve">Multimedia entertainment products  </w:t>
        <w:br/>
        <w:t xml:space="preserve">19. Regarding the distribution of "multimedia entertainment" products, the Authority considered the existence of a market for game consoles, console accessories, games for consoles and PCs, while leaving the question of its exact delimitation open. A finer delimitation by product type between (i) game software, (ii) consoles, and (iii) video game accessories was also mentioned by the minister responsible for the economy.  </w:t>
        <w:br/>
        <w:t xml:space="preserve">20. The Authority excluded dematerialized games sold remotely from the competitive analysis. Indeed, it noted that while the video game sector is characterized by constant and rapid innovation, particularly in terms of dematerialization, the term "dematerialized games" covers very heterogeneous products, such as digital versions of existing PC or console games on physical media, free games, or online games. These games can be offered on devices (tablets, smartphones, etc.) that, unlike consoles, are not primarily dedicated to video gaming. The Authority also noted that providers of dematerialized games differ from traditional online providers of physical video game products. Thus, dematerialized games are not included in the market for the distribution of video game products, which does include software, consoles, and video game accessories.  </w:t>
        <w:br/>
        <w:t xml:space="preserve">21. There is no need to challenge this delimitation in the context of the present operation.  </w:t>
        <w:br/>
        <w:t xml:space="preserve">b) The distinction by sales channel  </w:t>
        <w:br/>
        <w:t xml:space="preserve">Physical points of sale  </w:t>
        <w:br/>
        <w:t xml:space="preserve">22. Competition authorities traditionally use three criteria to delineate markets for distribution in physical points of sale: the type of products sold, the format and size of the stores, as only stores that consistently offer a wide assortment of products throughout the year exert real competitive pressure on each other.  </w:t>
        <w:br/>
        <w:t xml:space="preserve">23. Thus, according to the decisional practice of the Authority, a large specialized store (hereinafter "GSS") in household appliances, such as Boulanger, competes with other GSS (Fnac Darty), large multi-specialist stores (Conforama and But), which offer, in addition to household appliances, furniture and decoration products, independent operator groupings (Euronics/Gitem, Connexion, Digital or Expert), local stores, and large food stores (hereinafter "GSA"), as well as with hard-discount stores specialized in the retail trade of household appliances (Électro Dépôt).  </w:t>
        <w:br/>
        <w:t xml:space="preserve">24. Regarding large multi-specialist stores, the Authority considers that they exert uneven competitive pressure on GSS as not all offer the three ranges of white, brown, and grey products, and the average size and share of household appliances vary greatly among brands. While it exceeds 80% for specialized stores like Darty, Connexion, or Boulanger, it remains below 20% for furniture stores (But, Conforama).  </w:t>
        <w:br/>
        <w:t xml:space="preserve">25. Regarding GSAs, competition authorities have noted that they are traditionally distinguished from GSS by narrower product ranges, assortments, and services offered. However, they have considered that some GSAs have permanent sections comparable to those of GSS and offer a significant number of references for household appliances, generally covering the entire spectrum of brown and grey products, with the same characteristics in terms of products as GSS. The decisional practice therefore considers these GSAs as substitutable for GSS. It also estimates that below a threshold of 2,500 m² of total sales area, stores are unable to offer an assortment comparable to that offered by GSS and/or only offer household appliances occasionally as "loss leaders."  </w:t>
        <w:br/>
        <w:t xml:space="preserve">26. Regarding other specialists (independent operator groupings, local stores), the Authority considers that only independent operator groupings (such as Euronics/Gitem, Connexion, Pro&amp;Cie, Digital or Pulsat) as well as local stores "with a surface area of more than 300 m² [are] able to offer a diverse range of white, brown, or grey products" and can therefore compete with GSS.  </w:t>
        <w:br/>
        <w:t xml:space="preserve">27. Regarding hard discount stores, the Authority considers, in the retail sector for food products, that they fall within the same market as supermarkets. It has transposed this analysis to the retail distribution sector of household appliances, thus taking into account brands such as Électro Dépôt in its competitive analysis.  </w:t>
        <w:br/>
        <w:t xml:space="preserve">28. In the aforementioned decision No. 16-DCC-111, the Authority also took into account for the purposes of competitive analysis the Apple Store outlets with a surface area greater than 300 m².  </w:t>
        <w:br/>
        <w:t xml:space="preserve">29. In conclusion, although exerting a different competitive pressure on GSS, the GSA of more than 2,500 m², the multi-specialists, the hard-discount stores specialized in the retail trade of household appliances, the independent groupings, and the local stores with a total surface area greater than 300 m², as well as Apple's physical points of sale, fall within the same market as the GSS.  </w:t>
        <w:br/>
        <w:t xml:space="preserve">Distance sales  </w:t>
        <w:br/>
        <w:t xml:space="preserve">30. In the aforementioned decision No. 16-DCC-111, the Authority included, for the first time, the online and in-store distribution channels within the same market. It thus considered that, even if the substitutability of these two channels is not perfect, it is now sufficient to consider that online sales exert such competitive pressure on in-store sales that these channels should be regarded as part of the same market.  </w:t>
        <w:br/>
        <w:t xml:space="preserve">31. Indeed, the Authority found that the development of online sales in the electronics sector over the five years preceding its decision was accompanied by a significant reduction in the differences that had been noted by previous decisional practice between online sales and in-store sales.  </w:t>
        <w:br/>
        <w:t xml:space="preserve">32. From the supply side, traditional brands have adapted their internal, pricing, and commercial strategies by developing their own online sales sites, notably to respond to the emergence of pure players in the retail distribution of household appliances, particularly Amazon. This evolution has resulted in a shift from a "multichannel" policy of traditional brands, where online sales were complementary to in-store sales, to an "omnichannel" policy that combines the two distribution channels into one in the eyes of the consumer. A central parameter of this strategy is the strong adaptation of traditional distributors' pricing strategies compared to those of pure players. For their part, online sales operators have simultaneously improved the services offered to customers to meet the criteria set by in-store sales.  </w:t>
        <w:br/>
        <w:t xml:space="preserve">33. From the demand side, while consumers still remain attached to in-store purchases, the Authority considered that the internet has been integrated into their purchasing behavior, both in terms of comparing offers upstream and for the act of purchase itself.  </w:t>
        <w:br/>
        <w:t xml:space="preserve">34. There is no need to challenge this market delimitation that retains a single sales channel for household appliances.  </w:t>
        <w:br/>
        <w:t xml:space="preserve">2. GEOGRAPHICAL MARKETS  </w:t>
        <w:br/>
        <w:t xml:space="preserve">35. In the retail sector in physical points of sale, according to decisional practice, competition occurs, from the consumer's perspective, primarily at the local level in markets whose size varies depending on the type of products concerned and the attractiveness of the stores.  </w:t>
        <w:br/>
        <w:t>36. Regarding the distribution of household appliances, competition authorities have estimated that consumers are willing to travel for a duration of 20 to 45 minutes for</w:t>
      </w:r>
    </w:p>
    <w:p>
      <w:r>
        <w:rPr>
          <w:b/>
        </w:rPr>
        <w:t>[Pages 7–9]</w:t>
      </w:r>
    </w:p>
    <w:p>
      <w:r>
        <w:t>36. Regarding the distribution of household appliances, the competition authorities have estimated that the consumer is willing to travel for a duration of 20 to 45 minutes to go to a store and compare products and prices from one brand to another. This duration, however, varies depending on the size of the store and other characteristics specific to each area, such as geography, population density, or other stores located nearby.</w:t>
      </w:r>
    </w:p>
    <w:p>
      <w:r>
        <w:t>37. Concerning the online retail sector, the Authority noted, in the aforementioned decision No. 16-DCC-111, that the rise of online sales has led operators in the sector to harmonize their pricing and commercial policies at the national level for both sales channels, in-store and online. However, the inclusion of online sales sites in the market for the distribution of household appliances, on the same level as physical points of sale, does not imply an exclusive analysis of a national market.</w:t>
      </w:r>
    </w:p>
    <w:p>
      <w:r>
        <w:t>38. Indeed, the Authority also conducted its competitive analysis at the local level, insofar as the GSS particularly take into account local determinants of competition in defining their commercial and pricing policies.</w:t>
      </w:r>
    </w:p>
    <w:p>
      <w:r>
        <w:t>39. Regarding the local dimension of the markets, the Authority conducted its competitive analysis in catchment areas whose sizes vary depending on the location of the target stores:</w:t>
        <w:br/>
        <w:t>(i) In the provinces (excluding large cities), the Authority considered catchment areas corresponding to travel times of 30 minutes by car;</w:t>
        <w:br/>
        <w:t>(ii) In the Paris suburbs and in large provincial cities, it considered catchment areas corresponding to travel times of 20 minutes by car;</w:t>
        <w:br/>
        <w:t>(iii) In Paris, it considered an area corresponding to the city of Paris intra-muros and smaller catchment areas with a radius of three kilometers around the relevant points of sale.</w:t>
      </w:r>
    </w:p>
    <w:p>
      <w:r>
        <w:t>40. In this case, the targets are located in Paris.</w:t>
      </w:r>
    </w:p>
    <w:p>
      <w:r>
        <w:t>III. Competitive Analysis</w:t>
      </w:r>
    </w:p>
    <w:p>
      <w:r>
        <w:t>A. THE UPSTREAM MARKETS FOR THE SUPPLY OF HOUSEHOLD APPLIANCES</w:t>
      </w:r>
    </w:p>
    <w:p>
      <w:r>
        <w:t>41. In this case, the operation is limited to the acquisition of two points of sale that represent only a marginal part of the revenue generated by Boulanger in France (less than 1%). The exclusive control of the targets is therefore not likely to significantly strengthen the purchasing power of HTM/Boulanger, which has, regardless of the segmentations considered, market shares below 30%, and those of Fnac Darty as well.</w:t>
      </w:r>
    </w:p>
    <w:p>
      <w:r>
        <w:t>42. Consequently, the operation is not likely to harm competition in the upstream markets for the supply of household appliances.</w:t>
      </w:r>
    </w:p>
    <w:p>
      <w:r>
        <w:t>B. THE DOWNSTREAM MARKETS FOR THE RETAIL SALE OF HOUSEHOLD APPLIANCES</w:t>
      </w:r>
    </w:p>
    <w:p>
      <w:r>
        <w:t>43. At the national level, the operation will result in an extremely limited market share increment (less than 1 point), so that its market share, which does not exceed 30% regardless of the category of products considered, remains unchanged. Furthermore, Boulanger will continue to face competition from the Fnac Darty group, online sales players (Amazon or Cdiscount), multi-specialist hypermarkets (Conforama and But), GSA (Carrefour, Leclerc, or Monoprix), as well as independent groupings (Gitem or Groupe Digital).</w:t>
      </w:r>
    </w:p>
    <w:p>
      <w:r>
        <w:t>44. In the catchment area corresponding to Paris intra-muros, Boulanger currently has four stores. Following the operation, it will operate six. It will particularly face competition from the Fnac Darty group, which will operate 22 retail stores for household appliances in Paris.</w:t>
      </w:r>
    </w:p>
    <w:p>
      <w:r>
        <w:t>45. In the local catchment areas defined by a radius of three kilometers around the Darty Passy store on one hand and around the Darty Montmartre store on the other hand, the operation entails overlaps in activity between the parties.</w:t>
      </w:r>
    </w:p>
    <w:p>
      <w:r>
        <w:t>46. In the catchment area of Darty Passy, the HTM group is present through its Boulanger Beaugrenelle store located at the corner of Rue Saint Charles and Avenue Émile Zola, in Paris (75015).</w:t>
      </w:r>
    </w:p>
    <w:p>
      <w:r>
        <w:t>HTM Darty Passy New entity Residual market shares of the Fnac Darty group</w:t>
        <w:br/>
        <w:t>Brown goods [10-20%] [5-10%] [15-20%] [50-60%]</w:t>
        <w:br/>
        <w:t>Grey goods [5-10%] [0-5%] [5-10%] [45-55%]</w:t>
        <w:br/>
        <w:t>White goods [5-10%] [5-10%] [5-10%] [25-30%]</w:t>
        <w:br/>
        <w:t>Multimedia entertainment products [5-10%] [0-5%] [0-5%] [45-55%]</w:t>
      </w:r>
    </w:p>
    <w:p>
      <w:r>
        <w:t>47. Regardless of the product family, the new entity will hold market shares below 20%. Furthermore, it appears that the residual market shares of the Fnac Darty group remain at levels two to three times higher than those of the new entity.</w:t>
      </w:r>
    </w:p>
    <w:p>
      <w:r>
        <w:t>48. In the catchment area of Darty Montmartre, the HTM group is present through its Boulanger Opéra store, located at 30, Boulevard des Capucines, in Paris (75009).</w:t>
      </w:r>
    </w:p>
    <w:p>
      <w:r>
        <w:t>HTM Darty Montmartre New entity Residual market shares of the Fnac Darty group</w:t>
        <w:br/>
        <w:t>Brown goods [5-10%] [0-5%] [5-10%] [55-65%]</w:t>
        <w:br/>
        <w:t>Grey goods [10-20%] [0-5%] [10-15%] [25-35%]</w:t>
        <w:br/>
        <w:t>White goods [5-10%] [0-5%] [5-10%] [30-35%]</w:t>
        <w:br/>
        <w:t>Multimedia entertainment products [5-10%] [0-5%] [0-5%] [50-60%]</w:t>
      </w:r>
    </w:p>
    <w:p>
      <w:r>
        <w:t>49. In this area, the activity increment is less than 5 points, regardless of the product family. The new entity will hold market shares below 15%, while the residual market shares of the Fnac Darty group remain at levels two to three times higher.</w:t>
      </w:r>
    </w:p>
    <w:p>
      <w:r>
        <w:t>50. Given the above, the operation is not likely to harm competition in the downstream markets for the retail sale of household appliances.</w:t>
      </w:r>
    </w:p>
    <w:p>
      <w:r>
        <w:t>DECIDES</w:t>
      </w:r>
    </w:p>
    <w:p>
      <w:r>
        <w:t>Article one: The operation notified under number 18-139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